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64888925"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70259D">
        <w:rPr>
          <w:rFonts w:cs="B Mitra" w:hint="cs"/>
          <w:b/>
          <w:bCs/>
          <w:sz w:val="32"/>
          <w:szCs w:val="32"/>
          <w:rtl/>
          <w:lang w:bidi="fa-IR"/>
        </w:rPr>
        <w:t>4</w:t>
      </w:r>
      <w:r w:rsidR="005327C7">
        <w:rPr>
          <w:rFonts w:cs="B Mitra" w:hint="cs"/>
          <w:b/>
          <w:bCs/>
          <w:sz w:val="32"/>
          <w:szCs w:val="32"/>
          <w:rtl/>
          <w:lang w:bidi="fa-IR"/>
        </w:rPr>
        <w:t>9</w:t>
      </w:r>
      <w:r w:rsidR="002E0246">
        <w:rPr>
          <w:rFonts w:cs="B Mitra" w:hint="cs"/>
          <w:b/>
          <w:bCs/>
          <w:sz w:val="32"/>
          <w:szCs w:val="32"/>
          <w:rtl/>
          <w:lang w:bidi="fa-IR"/>
        </w:rPr>
        <w:t>2</w:t>
      </w:r>
    </w:p>
    <w:p w14:paraId="6ACF92B3" w14:textId="77777777" w:rsidR="002E0246" w:rsidRPr="00C3059F" w:rsidRDefault="002E0246" w:rsidP="002E0246">
      <w:pPr>
        <w:widowControl w:val="0"/>
        <w:bidi/>
        <w:spacing w:after="0" w:line="254" w:lineRule="auto"/>
        <w:ind w:firstLine="284"/>
        <w:jc w:val="both"/>
        <w:rPr>
          <w:rFonts w:cs="Abz-2 (Badr)"/>
          <w:sz w:val="28"/>
          <w:szCs w:val="28"/>
          <w:rtl/>
          <w:lang w:bidi="fa-IR"/>
        </w:rPr>
      </w:pPr>
      <w:r>
        <w:rPr>
          <w:rFonts w:cs="Abz-2 (Badr)" w:hint="cs"/>
          <w:sz w:val="28"/>
          <w:szCs w:val="28"/>
          <w:rtl/>
          <w:lang w:bidi="fa-IR"/>
        </w:rPr>
        <w:t>اخباری که می</w:t>
      </w:r>
      <w:r>
        <w:rPr>
          <w:rFonts w:cs="Abz-2 (Badr)"/>
          <w:sz w:val="28"/>
          <w:szCs w:val="28"/>
          <w:rtl/>
          <w:lang w:bidi="fa-IR"/>
        </w:rPr>
        <w:softHyphen/>
      </w:r>
      <w:r>
        <w:rPr>
          <w:rFonts w:cs="Abz-2 (Badr)" w:hint="cs"/>
          <w:sz w:val="28"/>
          <w:szCs w:val="28"/>
          <w:rtl/>
          <w:lang w:bidi="fa-IR"/>
        </w:rPr>
        <w:t>توان برای فسخ به واسطه تدليس به آنها تمسّک کرد، از قرار ذيل است.</w:t>
      </w:r>
    </w:p>
    <w:p w14:paraId="383BBFEF" w14:textId="77777777" w:rsidR="002E0246" w:rsidRDefault="002E0246" w:rsidP="002E0246">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1 ـ </w:t>
      </w:r>
      <w:r w:rsidRPr="00ED6278">
        <w:rPr>
          <w:rFonts w:cs="Abz-2 (Badr)" w:hint="cs"/>
          <w:sz w:val="28"/>
          <w:szCs w:val="28"/>
          <w:rtl/>
          <w:lang w:bidi="fa-IR"/>
        </w:rPr>
        <w:t xml:space="preserve">صحيحة أبي عبيدة عن أبي جعفر(ع)، قال: </w:t>
      </w:r>
      <w:r w:rsidRPr="00ED6278">
        <w:rPr>
          <w:rFonts w:cs="Abz-2 (Badr)"/>
          <w:sz w:val="28"/>
          <w:szCs w:val="28"/>
          <w:rtl/>
          <w:lang w:bidi="fa-IR"/>
        </w:rPr>
        <w:t xml:space="preserve">«في رجل تزوّج امرأة من وليّها فوجد بها عيباً بعدما دخل بها، قال: فقال: إذا </w:t>
      </w:r>
      <w:r w:rsidRPr="00ED6278">
        <w:rPr>
          <w:rFonts w:cs="Abz-2 (Badr)" w:hint="cs"/>
          <w:sz w:val="28"/>
          <w:szCs w:val="28"/>
          <w:rtl/>
          <w:lang w:bidi="fa-IR"/>
        </w:rPr>
        <w:t>دُلّست</w:t>
      </w:r>
      <w:r w:rsidRPr="00ED6278">
        <w:rPr>
          <w:rFonts w:cs="Abz-2 (Badr)"/>
          <w:sz w:val="28"/>
          <w:szCs w:val="28"/>
          <w:rtl/>
          <w:lang w:bidi="fa-IR"/>
        </w:rPr>
        <w:t xml:space="preserve"> العفلاء والبرصاء والمجنونة والمفضاة ومن كان بها زَمانة ظاهرة، فإنّها تردّ على أهلها من غير طلاق</w:t>
      </w:r>
      <w:r>
        <w:rPr>
          <w:rFonts w:cs="Abz-2 (Badr)" w:hint="cs"/>
          <w:sz w:val="28"/>
          <w:szCs w:val="28"/>
          <w:rtl/>
          <w:lang w:bidi="fa-IR"/>
        </w:rPr>
        <w:t>...»</w:t>
      </w:r>
      <w:r w:rsidRPr="002D27AB">
        <w:rPr>
          <w:rStyle w:val="FootnoteReference"/>
          <w:rFonts w:cs="Abz-2 (Badr)"/>
          <w:sz w:val="28"/>
          <w:szCs w:val="28"/>
          <w:rtl/>
          <w:lang w:bidi="fa-IR"/>
        </w:rPr>
        <w:footnoteReference w:id="1"/>
      </w:r>
    </w:p>
    <w:p w14:paraId="77DE7237" w14:textId="3B3EA8A8" w:rsidR="009251BE" w:rsidRPr="009251BE" w:rsidRDefault="009251BE" w:rsidP="002E0246">
      <w:pPr>
        <w:widowControl w:val="0"/>
        <w:bidi/>
        <w:spacing w:after="0" w:line="254" w:lineRule="auto"/>
        <w:ind w:firstLine="284"/>
        <w:jc w:val="both"/>
        <w:rPr>
          <w:rFonts w:cs="Abz-2 (Badr)"/>
          <w:spacing w:val="-6"/>
          <w:sz w:val="28"/>
          <w:szCs w:val="28"/>
          <w:rtl/>
          <w:lang w:bidi="fa-IR"/>
        </w:rPr>
      </w:pPr>
      <w:r w:rsidRPr="009251BE">
        <w:rPr>
          <w:rFonts w:cs="Abz-2 (Badr)" w:hint="cs"/>
          <w:spacing w:val="-6"/>
          <w:sz w:val="28"/>
          <w:szCs w:val="28"/>
          <w:rtl/>
          <w:lang w:bidi="fa-IR"/>
        </w:rPr>
        <w:t>آنچه که در اين روايت به عنوان مورد تدليس ذکر شده است، از باب ذکر مصاديق است و خصوصيتی در آن نيست، بلکه امام(ع) در صدد بيان اين مطلب است که تدليس در چنين مواردی محقق است و خصوصيت اين موارد اين است که عقد عرفاً مبنی بر عدم آنها واقع می</w:t>
      </w:r>
      <w:r w:rsidRPr="009251BE">
        <w:rPr>
          <w:rFonts w:cs="Abz-2 (Badr)"/>
          <w:spacing w:val="-6"/>
          <w:sz w:val="28"/>
          <w:szCs w:val="28"/>
          <w:rtl/>
          <w:lang w:bidi="fa-IR"/>
        </w:rPr>
        <w:softHyphen/>
      </w:r>
      <w:r w:rsidRPr="009251BE">
        <w:rPr>
          <w:rFonts w:cs="Abz-2 (Badr)" w:hint="cs"/>
          <w:spacing w:val="-6"/>
          <w:sz w:val="28"/>
          <w:szCs w:val="28"/>
          <w:rtl/>
          <w:lang w:bidi="fa-IR"/>
        </w:rPr>
        <w:t>شود و در نتيجه عدم ذکر وجود چنين عيوبی در ضمن عقد، از مصاديق تدليس محسوب می</w:t>
      </w:r>
      <w:r w:rsidRPr="009251BE">
        <w:rPr>
          <w:rFonts w:cs="Abz-2 (Badr)"/>
          <w:spacing w:val="-6"/>
          <w:sz w:val="28"/>
          <w:szCs w:val="28"/>
          <w:rtl/>
          <w:lang w:bidi="fa-IR"/>
        </w:rPr>
        <w:softHyphen/>
      </w:r>
      <w:r w:rsidRPr="009251BE">
        <w:rPr>
          <w:rFonts w:cs="Abz-2 (Badr)" w:hint="cs"/>
          <w:spacing w:val="-6"/>
          <w:sz w:val="28"/>
          <w:szCs w:val="28"/>
          <w:rtl/>
          <w:lang w:bidi="fa-IR"/>
        </w:rPr>
        <w:t>گردد.</w:t>
      </w:r>
    </w:p>
    <w:p w14:paraId="673F04AB" w14:textId="0AB90AC2" w:rsidR="002E0246" w:rsidRDefault="002E0246" w:rsidP="009251BE">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2 ـ </w:t>
      </w:r>
      <w:r w:rsidRPr="00ED6278">
        <w:rPr>
          <w:rFonts w:cs="Abz-2 (Badr)" w:hint="cs"/>
          <w:sz w:val="28"/>
          <w:szCs w:val="28"/>
          <w:rtl/>
          <w:lang w:bidi="fa-IR"/>
        </w:rPr>
        <w:t xml:space="preserve">خبر عبد الرحمن بن أبي عبدالله است، قال: </w:t>
      </w:r>
      <w:r w:rsidRPr="00ED6278">
        <w:rPr>
          <w:rFonts w:cs="Abz-2 (Badr)"/>
          <w:sz w:val="28"/>
          <w:szCs w:val="28"/>
          <w:rtl/>
          <w:lang w:bidi="fa-IR"/>
        </w:rPr>
        <w:t>«سألت أبا عبدالله(ع) عن رجل تزوّج امرأة فعلم بعدما تزوّجها أنّها قد كانت زنت؟ قال: إن شاء زوجها أخذ الصداق ممّن زوّجها ولها الصداق بما استحلّ من فرجها، وإن شاء تركها...»</w:t>
      </w:r>
      <w:r w:rsidRPr="002D27AB">
        <w:rPr>
          <w:rStyle w:val="FootnoteReference"/>
          <w:rFonts w:cs="Abz-2 (Badr)"/>
          <w:sz w:val="28"/>
          <w:szCs w:val="28"/>
          <w:rtl/>
          <w:lang w:bidi="fa-IR"/>
        </w:rPr>
        <w:footnoteReference w:id="2"/>
      </w:r>
    </w:p>
    <w:p w14:paraId="77A313F2" w14:textId="77777777" w:rsidR="002E0246" w:rsidRDefault="002E0246" w:rsidP="002E0246">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3 ـ </w:t>
      </w:r>
      <w:r w:rsidRPr="00ED6278">
        <w:rPr>
          <w:rFonts w:cs="Abz-2 (Badr)" w:hint="cs"/>
          <w:sz w:val="28"/>
          <w:szCs w:val="28"/>
          <w:rtl/>
          <w:lang w:bidi="fa-IR"/>
        </w:rPr>
        <w:t xml:space="preserve">صحيحة معاوية بن وهب، قال: </w:t>
      </w:r>
      <w:r w:rsidRPr="00ED6278">
        <w:rPr>
          <w:rFonts w:cs="Abz-2 (Badr)"/>
          <w:sz w:val="28"/>
          <w:szCs w:val="28"/>
          <w:rtl/>
          <w:lang w:bidi="fa-IR"/>
        </w:rPr>
        <w:t>«سألت أبا عبدالله(ع) عن رجل تزوّج امرأة فعلم بعدما تزوّجها أنّها کانت زنت. قال: إن شاء زوجها أن يأخذ الصداق من الذي زوّجها ولها الصداق بما استحلّ من فرجها وإن شاء ترکها.</w:t>
      </w:r>
      <w:r>
        <w:rPr>
          <w:rFonts w:cs="Abz-2 (Badr)" w:hint="cs"/>
          <w:sz w:val="28"/>
          <w:szCs w:val="28"/>
          <w:rtl/>
          <w:lang w:bidi="fa-IR"/>
        </w:rPr>
        <w:t>..</w:t>
      </w:r>
      <w:r w:rsidRPr="00ED6278">
        <w:rPr>
          <w:rFonts w:cs="Abz-2 (Badr)"/>
          <w:sz w:val="28"/>
          <w:szCs w:val="28"/>
          <w:rtl/>
          <w:lang w:bidi="fa-IR"/>
        </w:rPr>
        <w:t>»</w:t>
      </w:r>
      <w:r w:rsidRPr="002D27AB">
        <w:rPr>
          <w:rStyle w:val="FootnoteReference"/>
          <w:rFonts w:cs="Abz-2 (Badr)"/>
          <w:sz w:val="28"/>
          <w:szCs w:val="28"/>
          <w:rtl/>
          <w:lang w:bidi="fa-IR"/>
        </w:rPr>
        <w:footnoteReference w:id="3"/>
      </w:r>
    </w:p>
    <w:p w14:paraId="46412679" w14:textId="77777777" w:rsidR="002E0246" w:rsidRDefault="002E0246" w:rsidP="002E0246">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4 ـ </w:t>
      </w:r>
      <w:r w:rsidRPr="00ED6278">
        <w:rPr>
          <w:rFonts w:cs="Abz-2 (Badr)" w:hint="cs"/>
          <w:sz w:val="28"/>
          <w:szCs w:val="28"/>
          <w:rtl/>
          <w:lang w:bidi="fa-IR"/>
        </w:rPr>
        <w:t xml:space="preserve">حسنة الحلبي عن أبي عبدالله(ع): </w:t>
      </w:r>
      <w:r w:rsidRPr="00ED6278">
        <w:rPr>
          <w:rFonts w:cs="Abz-2 (Badr)"/>
          <w:sz w:val="28"/>
          <w:szCs w:val="28"/>
          <w:rtl/>
          <w:lang w:bidi="fa-IR"/>
        </w:rPr>
        <w:t>«عن المرأة تلد من الزنا ولا يعلم بذلك أحد إلا وليّها، أيصلح له أن يزوّجها ويسكت على ذلك إذا كان قد رأى منها توبة أو معروفاً؟ فقال: إن لم يذكر ذلك لزوجها ثمّ علم بعد ذلك فشاء أن يأخذ صداقها من وليّها بما دلّس عليه، كان له ذلك على وليّها، وكان الصداق الذي أخذت لها،</w:t>
      </w:r>
      <w:r>
        <w:rPr>
          <w:rFonts w:cs="Abz-2 (Badr)" w:hint="cs"/>
          <w:sz w:val="28"/>
          <w:szCs w:val="28"/>
          <w:rtl/>
          <w:lang w:bidi="fa-IR"/>
        </w:rPr>
        <w:t xml:space="preserve"> </w:t>
      </w:r>
      <w:r w:rsidRPr="00ED6278">
        <w:rPr>
          <w:rFonts w:cs="Abz-2 (Badr)"/>
          <w:sz w:val="28"/>
          <w:szCs w:val="28"/>
          <w:rtl/>
          <w:lang w:bidi="fa-IR"/>
        </w:rPr>
        <w:t>لا سبيل عليها فيه بما استحلّ من فرجها، وإن شاء زوجها أن يمسكها فلا بأس.»</w:t>
      </w:r>
      <w:r w:rsidRPr="002D27AB">
        <w:rPr>
          <w:rStyle w:val="FootnoteReference"/>
          <w:rFonts w:cs="Abz-2 (Badr)"/>
          <w:sz w:val="28"/>
          <w:szCs w:val="28"/>
          <w:rtl/>
          <w:lang w:bidi="fa-IR"/>
        </w:rPr>
        <w:footnoteReference w:id="4"/>
      </w:r>
    </w:p>
    <w:p w14:paraId="4C6DB7AA" w14:textId="77777777" w:rsidR="002E0246" w:rsidRDefault="002E0246" w:rsidP="002E0246">
      <w:pPr>
        <w:widowControl w:val="0"/>
        <w:bidi/>
        <w:spacing w:after="0" w:line="254" w:lineRule="auto"/>
        <w:ind w:firstLine="284"/>
        <w:jc w:val="both"/>
        <w:rPr>
          <w:rFonts w:cs="Abz-2 (Badr)"/>
          <w:sz w:val="28"/>
          <w:szCs w:val="28"/>
          <w:rtl/>
          <w:lang w:bidi="fa-IR"/>
        </w:rPr>
      </w:pPr>
      <w:bookmarkStart w:id="0" w:name="_Hlk116159916"/>
      <w:r>
        <w:rPr>
          <w:rFonts w:cs="Abz-2 (Badr)" w:hint="cs"/>
          <w:sz w:val="28"/>
          <w:szCs w:val="28"/>
          <w:rtl/>
          <w:lang w:bidi="fa-IR"/>
        </w:rPr>
        <w:t>5 ـ صحيحة داود بن سرحان عن أبي عبدالله(ع): «</w:t>
      </w:r>
      <w:r w:rsidRPr="003F6A6F">
        <w:rPr>
          <w:rFonts w:cs="Abz-2 (Badr)"/>
          <w:sz w:val="28"/>
          <w:szCs w:val="28"/>
          <w:rtl/>
          <w:lang w:bidi="fa-IR"/>
        </w:rPr>
        <w:t>في الرجل يتزوّج المرأة فيؤتى بها عمياء أو برصاء أو عرجاء، قال: تردّ على وليّها ويكون لها المهر على وليّها</w:t>
      </w:r>
      <w:r>
        <w:rPr>
          <w:rFonts w:cs="Abz-2 (Badr)" w:hint="cs"/>
          <w:sz w:val="28"/>
          <w:szCs w:val="28"/>
          <w:rtl/>
          <w:lang w:bidi="fa-IR"/>
        </w:rPr>
        <w:t>...»</w:t>
      </w:r>
      <w:r w:rsidRPr="002D27AB">
        <w:rPr>
          <w:rStyle w:val="FootnoteReference"/>
          <w:rFonts w:cs="Abz-2 (Badr)"/>
          <w:sz w:val="28"/>
          <w:szCs w:val="28"/>
          <w:rtl/>
          <w:lang w:bidi="fa-IR"/>
        </w:rPr>
        <w:footnoteReference w:id="5"/>
      </w:r>
    </w:p>
    <w:bookmarkEnd w:id="0"/>
    <w:p w14:paraId="282BC814" w14:textId="77777777" w:rsidR="002E0246" w:rsidRDefault="002E0246" w:rsidP="002E0246">
      <w:pPr>
        <w:widowControl w:val="0"/>
        <w:bidi/>
        <w:spacing w:after="0" w:line="257" w:lineRule="auto"/>
        <w:ind w:firstLine="284"/>
        <w:jc w:val="both"/>
        <w:rPr>
          <w:rFonts w:cs="Abz-2 (Badr)"/>
          <w:sz w:val="28"/>
          <w:szCs w:val="28"/>
          <w:rtl/>
          <w:lang w:bidi="fa-IR"/>
        </w:rPr>
      </w:pPr>
      <w:r>
        <w:rPr>
          <w:rFonts w:cs="Abz-2 (Badr)" w:hint="cs"/>
          <w:sz w:val="28"/>
          <w:szCs w:val="28"/>
          <w:rtl/>
          <w:lang w:bidi="fa-IR"/>
        </w:rPr>
        <w:t xml:space="preserve">6 ـ </w:t>
      </w:r>
      <w:r w:rsidRPr="00ED6278">
        <w:rPr>
          <w:rFonts w:cs="Abz-2 (Badr)" w:hint="cs"/>
          <w:sz w:val="28"/>
          <w:szCs w:val="28"/>
          <w:rtl/>
          <w:lang w:bidi="fa-IR"/>
        </w:rPr>
        <w:t xml:space="preserve">حسنة الحلبيّ ومعتبرة داود بن سرحان عن أبي عبدالله(ع): </w:t>
      </w:r>
      <w:r w:rsidRPr="00ED6278">
        <w:rPr>
          <w:rFonts w:cs="Abz-2 (Badr)"/>
          <w:sz w:val="28"/>
          <w:szCs w:val="28"/>
          <w:rtl/>
          <w:lang w:bidi="fa-IR"/>
        </w:rPr>
        <w:t>«في رجل</w:t>
      </w:r>
      <w:r>
        <w:rPr>
          <w:rFonts w:cs="Abz-2 (Badr)" w:hint="cs"/>
          <w:sz w:val="28"/>
          <w:szCs w:val="28"/>
          <w:rtl/>
          <w:lang w:bidi="fa-IR"/>
        </w:rPr>
        <w:t xml:space="preserve"> </w:t>
      </w:r>
      <w:r w:rsidRPr="00ED6278">
        <w:rPr>
          <w:rFonts w:cs="Abz-2 (Badr)" w:hint="cs"/>
          <w:sz w:val="28"/>
          <w:szCs w:val="28"/>
          <w:rtl/>
          <w:lang w:bidi="fa-IR"/>
        </w:rPr>
        <w:t>ولّته امرأة أمرها أو ذاتُ قرابة أو جارٌ لها لا يعلم دخيلة أمرها، فوجدها قد دلّست عيباً هو بها، قال: يؤخذ المهر منها ولا يكون على الذي زوّجها شي‌ء.»</w:t>
      </w:r>
      <w:r w:rsidRPr="002D27AB">
        <w:rPr>
          <w:rStyle w:val="FootnoteReference"/>
          <w:rFonts w:cs="Abz-2 (Badr)"/>
          <w:sz w:val="28"/>
          <w:szCs w:val="28"/>
          <w:rtl/>
          <w:lang w:bidi="fa-IR"/>
        </w:rPr>
        <w:footnoteReference w:id="6"/>
      </w:r>
    </w:p>
    <w:p w14:paraId="32A78082" w14:textId="77777777" w:rsidR="002E0246" w:rsidRDefault="002E0246" w:rsidP="002E0246">
      <w:pPr>
        <w:widowControl w:val="0"/>
        <w:bidi/>
        <w:spacing w:after="0"/>
        <w:ind w:firstLine="284"/>
        <w:jc w:val="both"/>
        <w:rPr>
          <w:rFonts w:cs="Abz-2 (Badr)"/>
          <w:sz w:val="28"/>
          <w:szCs w:val="28"/>
          <w:rtl/>
          <w:lang w:bidi="fa-IR"/>
        </w:rPr>
      </w:pPr>
      <w:r>
        <w:rPr>
          <w:rFonts w:cs="Abz-2 (Badr)" w:hint="cs"/>
          <w:sz w:val="28"/>
          <w:szCs w:val="28"/>
          <w:rtl/>
          <w:lang w:bidi="fa-IR"/>
        </w:rPr>
        <w:lastRenderedPageBreak/>
        <w:t>آنچه که از مجموع اين اخبار به دست می</w:t>
      </w:r>
      <w:r>
        <w:rPr>
          <w:rFonts w:cs="Abz-2 (Badr)"/>
          <w:sz w:val="28"/>
          <w:szCs w:val="28"/>
          <w:rtl/>
          <w:lang w:bidi="fa-IR"/>
        </w:rPr>
        <w:softHyphen/>
      </w:r>
      <w:r>
        <w:rPr>
          <w:rFonts w:cs="Abz-2 (Badr)" w:hint="cs"/>
          <w:sz w:val="28"/>
          <w:szCs w:val="28"/>
          <w:rtl/>
          <w:lang w:bidi="fa-IR"/>
        </w:rPr>
        <w:t>آيد اين است که اگر تدليس در خصوص عيب و يا وصف کمال ـ که صحيحه حلبی که در روايات دسته اول گذشت به آن اشاره داشت ـ محقق شود، برای طرف مقابل حق فسخ وجود دارد و اين مطلب اختصاص به عيب يا وصف کمال خاصی هم ندارد.</w:t>
      </w:r>
    </w:p>
    <w:p w14:paraId="5EF9BB83" w14:textId="77777777" w:rsidR="002E0246" w:rsidRPr="00ED6278" w:rsidRDefault="002E0246" w:rsidP="00CA0BC4">
      <w:pPr>
        <w:widowControl w:val="0"/>
        <w:bidi/>
        <w:spacing w:after="0" w:line="245" w:lineRule="auto"/>
        <w:ind w:firstLine="284"/>
        <w:jc w:val="both"/>
        <w:rPr>
          <w:rFonts w:cs="Abz-2 (Badr)"/>
          <w:sz w:val="28"/>
          <w:szCs w:val="28"/>
          <w:lang w:bidi="fa-IR"/>
        </w:rPr>
      </w:pPr>
      <w:r>
        <w:rPr>
          <w:rFonts w:cs="Abz-2 (Badr)" w:hint="cs"/>
          <w:sz w:val="28"/>
          <w:szCs w:val="28"/>
          <w:rtl/>
          <w:lang w:bidi="fa-IR"/>
        </w:rPr>
        <w:t>البته ممکن است گمان شود که ظاهر برخی از اخبار با اين مدعا منافات دارد.</w:t>
      </w:r>
    </w:p>
    <w:p w14:paraId="2D9B8AF3" w14:textId="77777777" w:rsidR="002E0246" w:rsidRDefault="002E0246" w:rsidP="00CA0BC4">
      <w:pPr>
        <w:widowControl w:val="0"/>
        <w:bidi/>
        <w:spacing w:after="0" w:line="245" w:lineRule="auto"/>
        <w:ind w:firstLine="284"/>
        <w:jc w:val="both"/>
        <w:rPr>
          <w:rFonts w:cs="Abz-2 (Badr)"/>
          <w:sz w:val="28"/>
          <w:szCs w:val="28"/>
          <w:rtl/>
          <w:lang w:bidi="fa-IR"/>
        </w:rPr>
      </w:pPr>
      <w:r>
        <w:rPr>
          <w:rFonts w:cs="Abz-2 (Badr)" w:hint="cs"/>
          <w:sz w:val="28"/>
          <w:szCs w:val="28"/>
          <w:rtl/>
          <w:lang w:bidi="fa-IR"/>
        </w:rPr>
        <w:t xml:space="preserve">منها: </w:t>
      </w:r>
      <w:r w:rsidRPr="00ED6278">
        <w:rPr>
          <w:rFonts w:cs="Abz-2 (Badr)" w:hint="cs"/>
          <w:sz w:val="28"/>
          <w:szCs w:val="28"/>
          <w:rtl/>
          <w:lang w:bidi="fa-IR"/>
        </w:rPr>
        <w:t xml:space="preserve">صحيحة الحلبيّ عن أبي عبدالله(ع) أنّه قال: </w:t>
      </w:r>
      <w:r w:rsidRPr="00ED6278">
        <w:rPr>
          <w:rFonts w:cs="Abz-2 (Badr)"/>
          <w:sz w:val="28"/>
          <w:szCs w:val="28"/>
          <w:rtl/>
          <w:lang w:bidi="fa-IR"/>
        </w:rPr>
        <w:t>«في الرجل يتزوّج إلى قوم فإذاً امرأته عوراء ولم يبيّنوا له، قال: لا تردّ، إنّما يردّ النكاح من البرص والجذام والجنون والعفل.</w:t>
      </w:r>
      <w:r>
        <w:rPr>
          <w:rFonts w:cs="Abz-2 (Badr)" w:hint="cs"/>
          <w:sz w:val="28"/>
          <w:szCs w:val="28"/>
          <w:rtl/>
          <w:lang w:bidi="fa-IR"/>
        </w:rPr>
        <w:t>..»</w:t>
      </w:r>
      <w:r w:rsidRPr="002D27AB">
        <w:rPr>
          <w:rStyle w:val="FootnoteReference"/>
          <w:rFonts w:cs="Abz-2 (Badr)"/>
          <w:sz w:val="28"/>
          <w:szCs w:val="28"/>
          <w:rtl/>
          <w:lang w:bidi="fa-IR"/>
        </w:rPr>
        <w:footnoteReference w:id="7"/>
      </w:r>
    </w:p>
    <w:p w14:paraId="1EE3631E" w14:textId="25AA61B8" w:rsidR="00A75FB0" w:rsidRDefault="002E0246" w:rsidP="00CA0BC4">
      <w:pPr>
        <w:widowControl w:val="0"/>
        <w:bidi/>
        <w:spacing w:after="0" w:line="245" w:lineRule="auto"/>
        <w:ind w:firstLine="284"/>
        <w:jc w:val="both"/>
        <w:rPr>
          <w:rFonts w:cs="Abz-2 (Badr)"/>
          <w:sz w:val="28"/>
          <w:szCs w:val="28"/>
          <w:rtl/>
          <w:lang w:bidi="fa-IR"/>
        </w:rPr>
      </w:pPr>
      <w:r>
        <w:rPr>
          <w:rFonts w:cs="Abz-2 (Badr)" w:hint="cs"/>
          <w:sz w:val="28"/>
          <w:szCs w:val="28"/>
          <w:rtl/>
          <w:lang w:bidi="fa-IR"/>
        </w:rPr>
        <w:t>اما توجيه اين صحيحه اين است که چون عوراء بودن در آن زمان امر شائعی بوده ـ بر خلاف عمياء بودن ـ مجرد عدم ذکر آن مستلزم تدليس نبوده است. بنابر اين آنچه که روايت در صدد نفی آن است تحقق موضوع ـ يعنی تدليس ـ است نه نفی حکم با وجود اثبات موضوع.</w:t>
      </w:r>
    </w:p>
    <w:p w14:paraId="341C11EE" w14:textId="77777777" w:rsidR="00CA0BC4" w:rsidRDefault="00CA0BC4" w:rsidP="00CA0BC4">
      <w:pPr>
        <w:widowControl w:val="0"/>
        <w:bidi/>
        <w:spacing w:after="0" w:line="245" w:lineRule="auto"/>
        <w:ind w:firstLine="284"/>
        <w:jc w:val="both"/>
        <w:rPr>
          <w:rFonts w:cs="Abz-2 (Badr)"/>
          <w:sz w:val="28"/>
          <w:szCs w:val="28"/>
          <w:rtl/>
          <w:lang w:bidi="fa-IR"/>
        </w:rPr>
      </w:pPr>
      <w:r>
        <w:rPr>
          <w:rFonts w:cs="Abz-2 (Badr)" w:hint="cs"/>
          <w:sz w:val="28"/>
          <w:szCs w:val="28"/>
          <w:rtl/>
          <w:lang w:bidi="fa-IR"/>
        </w:rPr>
        <w:t>در فتاوای برخی از اعاظم از معاصرين نيز در تعريف تدليس و شمول آن به همين نحو مشی شده است.</w:t>
      </w:r>
    </w:p>
    <w:p w14:paraId="33E899B3" w14:textId="77777777" w:rsidR="00CA0BC4" w:rsidRPr="009B5245" w:rsidRDefault="00CA0BC4" w:rsidP="00CA0BC4">
      <w:pPr>
        <w:widowControl w:val="0"/>
        <w:bidi/>
        <w:spacing w:after="0" w:line="245" w:lineRule="auto"/>
        <w:ind w:firstLine="284"/>
        <w:jc w:val="both"/>
        <w:rPr>
          <w:rFonts w:cs="Abz-2 (Badr)"/>
          <w:sz w:val="28"/>
          <w:szCs w:val="28"/>
          <w:lang w:bidi="fa-IR"/>
        </w:rPr>
      </w:pPr>
      <w:r>
        <w:rPr>
          <w:rFonts w:cs="Abz-2 (Badr)" w:hint="cs"/>
          <w:sz w:val="28"/>
          <w:szCs w:val="28"/>
          <w:rtl/>
          <w:lang w:bidi="fa-IR"/>
        </w:rPr>
        <w:t>قال الإمام الخميني في التحرير: «</w:t>
      </w:r>
      <w:r w:rsidRPr="009B5245">
        <w:rPr>
          <w:rFonts w:cs="Abz-2 (Badr)"/>
          <w:sz w:val="28"/>
          <w:szCs w:val="28"/>
          <w:rtl/>
          <w:lang w:bidi="fa-IR"/>
        </w:rPr>
        <w:t xml:space="preserve">مسألة ١٣: كما يتحقّق التدليس في العيوب الموجبة للخيار كالجنون والعمى وغيرهما، كذلك يتحقّق في مطلق النقص كالعور ونحوه بإخفائه. وكذا في صفات الكمال كالشرف والحسب والنسب والجمال والبكارة وغيرها بتوصيفها بها مع فقدانها. ولا أثر للأوّل </w:t>
      </w:r>
      <w:r>
        <w:rPr>
          <w:rFonts w:cs="Abz-2 (Badr)" w:hint="cs"/>
          <w:sz w:val="28"/>
          <w:szCs w:val="28"/>
          <w:rtl/>
          <w:lang w:bidi="fa-IR"/>
        </w:rPr>
        <w:t>ـ</w:t>
      </w:r>
      <w:r w:rsidRPr="009B5245">
        <w:rPr>
          <w:rFonts w:cs="Abz-2 (Badr)"/>
          <w:sz w:val="28"/>
          <w:szCs w:val="28"/>
          <w:rtl/>
          <w:lang w:bidi="fa-IR"/>
        </w:rPr>
        <w:t xml:space="preserve"> أي</w:t>
      </w:r>
      <w:r>
        <w:rPr>
          <w:rFonts w:cs="Abz-2 (Badr)" w:hint="cs"/>
          <w:sz w:val="28"/>
          <w:szCs w:val="28"/>
          <w:rtl/>
          <w:lang w:bidi="fa-IR"/>
        </w:rPr>
        <w:t xml:space="preserve"> </w:t>
      </w:r>
      <w:r w:rsidRPr="009B5245">
        <w:rPr>
          <w:rFonts w:cs="Abz-2 (Badr)"/>
          <w:sz w:val="28"/>
          <w:szCs w:val="28"/>
          <w:rtl/>
          <w:lang w:bidi="fa-IR"/>
        </w:rPr>
        <w:t xml:space="preserve">التدليس في العيوب الموجبة للخيار </w:t>
      </w:r>
      <w:r>
        <w:rPr>
          <w:rFonts w:cs="Abz-2 (Badr)" w:hint="cs"/>
          <w:sz w:val="28"/>
          <w:szCs w:val="28"/>
          <w:rtl/>
          <w:lang w:bidi="fa-IR"/>
        </w:rPr>
        <w:t>ـ</w:t>
      </w:r>
      <w:r w:rsidRPr="009B5245">
        <w:rPr>
          <w:rFonts w:cs="Abz-2 (Badr)"/>
          <w:sz w:val="28"/>
          <w:szCs w:val="28"/>
          <w:rtl/>
          <w:lang w:bidi="fa-IR"/>
        </w:rPr>
        <w:t xml:space="preserve"> إلا</w:t>
      </w:r>
      <w:r>
        <w:rPr>
          <w:rFonts w:cs="Abz-2 (Badr)" w:hint="cs"/>
          <w:sz w:val="28"/>
          <w:szCs w:val="28"/>
          <w:rtl/>
          <w:lang w:bidi="fa-IR"/>
        </w:rPr>
        <w:t xml:space="preserve"> </w:t>
      </w:r>
      <w:r w:rsidRPr="009B5245">
        <w:rPr>
          <w:rFonts w:cs="Abz-2 (Badr)"/>
          <w:sz w:val="28"/>
          <w:szCs w:val="28"/>
          <w:rtl/>
          <w:lang w:bidi="fa-IR"/>
        </w:rPr>
        <w:t>رجوع الزوج على المدلّس بالمهر كما مرّ</w:t>
      </w:r>
      <w:r>
        <w:rPr>
          <w:rFonts w:cs="Abz-2 (Badr)" w:hint="cs"/>
          <w:sz w:val="28"/>
          <w:szCs w:val="28"/>
          <w:rtl/>
          <w:lang w:bidi="fa-IR"/>
        </w:rPr>
        <w:t>؛</w:t>
      </w:r>
      <w:r w:rsidRPr="009B5245">
        <w:rPr>
          <w:rFonts w:cs="Abz-2 (Badr)"/>
          <w:sz w:val="28"/>
          <w:szCs w:val="28"/>
          <w:rtl/>
          <w:lang w:bidi="fa-IR"/>
        </w:rPr>
        <w:t xml:space="preserve"> وأمّا الخيار فإنّما هو بسبب نفس وجود العيب. وأمّا الثاني </w:t>
      </w:r>
      <w:r>
        <w:rPr>
          <w:rFonts w:cs="Abz-2 (Badr)" w:hint="cs"/>
          <w:sz w:val="28"/>
          <w:szCs w:val="28"/>
          <w:rtl/>
          <w:lang w:bidi="fa-IR"/>
        </w:rPr>
        <w:t>ـ</w:t>
      </w:r>
      <w:r w:rsidRPr="009B5245">
        <w:rPr>
          <w:rFonts w:cs="Abz-2 (Badr)"/>
          <w:sz w:val="28"/>
          <w:szCs w:val="28"/>
          <w:rtl/>
          <w:lang w:bidi="fa-IR"/>
        </w:rPr>
        <w:t xml:space="preserve"> وهو التدليس في سائر أنواع النقص وفي صفة الكمال </w:t>
      </w:r>
      <w:r>
        <w:rPr>
          <w:rFonts w:cs="Abz-2 (Badr)" w:hint="cs"/>
          <w:sz w:val="28"/>
          <w:szCs w:val="28"/>
          <w:rtl/>
          <w:lang w:bidi="fa-IR"/>
        </w:rPr>
        <w:t>ـ</w:t>
      </w:r>
      <w:r w:rsidRPr="009B5245">
        <w:rPr>
          <w:rFonts w:cs="Abz-2 (Badr)"/>
          <w:sz w:val="28"/>
          <w:szCs w:val="28"/>
          <w:rtl/>
          <w:lang w:bidi="fa-IR"/>
        </w:rPr>
        <w:t xml:space="preserve"> فهو موجب للخيار إذا كان عدم النقص أو وجود صفة الكمال مذكورين في العقد بنحو الاشتراط. ويلحق به توصيفها به في العقد وإن لم يكن بعبارة الاشتراط، كما إذا قال: «زوّجتك هذه الباكرة أو غير الثيّبة»، بل الظاهر أنّه إذا وصفها بصفة الكمال أو عدم النقص قبل العقد عند الخطبة والمقاولة ثمّ‌ أوقعه مبنيّاً على ما ذكر كان بمنزلة الاشتراط فيوجب الخيار، وإذا تبيّن ذلك بعد العقد والدخول واختار الفسخ ودفع المهر، رجع به على المدلّس.</w:t>
      </w:r>
    </w:p>
    <w:p w14:paraId="7D5D3161" w14:textId="77777777" w:rsidR="00CA0BC4" w:rsidRDefault="00CA0BC4" w:rsidP="00CA0BC4">
      <w:pPr>
        <w:widowControl w:val="0"/>
        <w:bidi/>
        <w:spacing w:after="0" w:line="245" w:lineRule="auto"/>
        <w:ind w:firstLine="284"/>
        <w:jc w:val="both"/>
        <w:rPr>
          <w:rFonts w:cs="Abz-2 (Badr)"/>
          <w:sz w:val="28"/>
          <w:szCs w:val="28"/>
          <w:rtl/>
          <w:lang w:bidi="fa-IR"/>
        </w:rPr>
      </w:pPr>
      <w:r w:rsidRPr="009B5245">
        <w:rPr>
          <w:rFonts w:cs="Abz-2 (Badr)"/>
          <w:sz w:val="28"/>
          <w:szCs w:val="28"/>
          <w:rtl/>
          <w:lang w:bidi="fa-IR"/>
        </w:rPr>
        <w:t>مسألة ١٤: ليس من التدليس الموجب للخيار سكوت الزوجة أو وليّها عن النقص مع وجوده واعتقاد الزوج عدمه في غير العيوب الموجبة للخيار، وأولى بذلك سكوتهما عن فقد صفة الكمال مع اعتقاد الزوج وجودها.</w:t>
      </w:r>
      <w:r>
        <w:rPr>
          <w:rFonts w:cs="Abz-2 (Badr)" w:hint="cs"/>
          <w:sz w:val="28"/>
          <w:szCs w:val="28"/>
          <w:rtl/>
          <w:lang w:bidi="fa-IR"/>
        </w:rPr>
        <w:t>»</w:t>
      </w:r>
      <w:r w:rsidRPr="002D27AB">
        <w:rPr>
          <w:rStyle w:val="FootnoteReference"/>
          <w:rFonts w:cs="Abz-2 (Badr)"/>
          <w:sz w:val="28"/>
          <w:szCs w:val="28"/>
          <w:rtl/>
          <w:lang w:bidi="fa-IR"/>
        </w:rPr>
        <w:footnoteReference w:id="8"/>
      </w:r>
    </w:p>
    <w:p w14:paraId="7B3C4FC5" w14:textId="77777777" w:rsidR="00CA0BC4" w:rsidRPr="002163B1" w:rsidRDefault="00CA0BC4" w:rsidP="00CA0BC4">
      <w:pPr>
        <w:widowControl w:val="0"/>
        <w:bidi/>
        <w:spacing w:after="0" w:line="245" w:lineRule="auto"/>
        <w:ind w:firstLine="284"/>
        <w:jc w:val="both"/>
        <w:rPr>
          <w:rFonts w:cs="Abz-2 (Badr)"/>
          <w:sz w:val="28"/>
          <w:szCs w:val="28"/>
          <w:lang w:bidi="fa-IR"/>
        </w:rPr>
      </w:pPr>
      <w:r>
        <w:rPr>
          <w:rFonts w:cs="Abz-2 (Badr)" w:hint="cs"/>
          <w:sz w:val="28"/>
          <w:szCs w:val="28"/>
          <w:rtl/>
          <w:lang w:bidi="fa-IR"/>
        </w:rPr>
        <w:t>وقال السيّد الوالد: «</w:t>
      </w:r>
      <w:r w:rsidRPr="002163B1">
        <w:rPr>
          <w:rFonts w:cs="Abz-2 (Badr)"/>
          <w:sz w:val="28"/>
          <w:szCs w:val="28"/>
          <w:rtl/>
          <w:lang w:bidi="fa-IR"/>
        </w:rPr>
        <w:t>مسألة ٢٨٤١</w:t>
      </w:r>
      <w:r>
        <w:rPr>
          <w:rFonts w:cs="Abz-2 (Badr)" w:hint="cs"/>
          <w:sz w:val="28"/>
          <w:szCs w:val="28"/>
          <w:rtl/>
          <w:lang w:bidi="fa-IR"/>
        </w:rPr>
        <w:t>:</w:t>
      </w:r>
      <w:r w:rsidRPr="002163B1">
        <w:rPr>
          <w:rFonts w:cs="Abz-2 (Badr)"/>
          <w:sz w:val="28"/>
          <w:szCs w:val="28"/>
          <w:rtl/>
          <w:lang w:bidi="fa-IR"/>
        </w:rPr>
        <w:t xml:space="preserve"> إذا كان أحد الزوجين مبتلىً‌ قبل العقد بمرض مسريّ‌ لا يمكن علاجه وشكّل ذلك خطراً معتدّاً به على حياة الآخر، فإن كان الطرف الآخر جاهلاً حين العقد بالمرض فيمكنه الفسخ بعد أن تبيّن له ذلك.</w:t>
      </w:r>
    </w:p>
    <w:p w14:paraId="53CD2A62" w14:textId="77777777" w:rsidR="00CA0BC4" w:rsidRPr="002163B1" w:rsidRDefault="00CA0BC4" w:rsidP="00CA0BC4">
      <w:pPr>
        <w:widowControl w:val="0"/>
        <w:bidi/>
        <w:spacing w:after="0" w:line="245" w:lineRule="auto"/>
        <w:ind w:firstLine="284"/>
        <w:jc w:val="both"/>
        <w:rPr>
          <w:rFonts w:cs="Abz-2 (Badr)"/>
          <w:spacing w:val="-4"/>
          <w:sz w:val="28"/>
          <w:szCs w:val="28"/>
          <w:rtl/>
          <w:lang w:bidi="fa-IR"/>
        </w:rPr>
      </w:pPr>
      <w:r w:rsidRPr="002163B1">
        <w:rPr>
          <w:rFonts w:cs="Abz-2 (Badr)"/>
          <w:spacing w:val="-4"/>
          <w:sz w:val="28"/>
          <w:szCs w:val="28"/>
          <w:rtl/>
          <w:lang w:bidi="fa-IR"/>
        </w:rPr>
        <w:t>مسألة ٢٨٤٢</w:t>
      </w:r>
      <w:r w:rsidRPr="00CA0BC4">
        <w:rPr>
          <w:rFonts w:cs="Abz-2 (Badr)" w:hint="cs"/>
          <w:spacing w:val="-4"/>
          <w:sz w:val="28"/>
          <w:szCs w:val="28"/>
          <w:rtl/>
          <w:lang w:bidi="fa-IR"/>
        </w:rPr>
        <w:t>:</w:t>
      </w:r>
      <w:r w:rsidRPr="002163B1">
        <w:rPr>
          <w:rFonts w:cs="Abz-2 (Badr)"/>
          <w:spacing w:val="-4"/>
          <w:sz w:val="28"/>
          <w:szCs w:val="28"/>
          <w:rtl/>
          <w:lang w:bidi="fa-IR"/>
        </w:rPr>
        <w:t xml:space="preserve"> إذا تبيّن أنّ‌ أحد طرفي العقد فيه عيب أو نقص معتدّ به عند العرف وأخفاه بقول أو فعل عن الطرف الآخر، كأن لم يكن قادراً على الكلام وأخفى ذلك، أو شرط ضمن العقد على الطرف الآخر أن يكون بمواصفات معيّنة ثمّ‌ تبيّن أنّه فاقد لها، كأن يشترط في العقد أن يكون الطرف الآخر هاشميّاً ثمّ‌ تبيّن له أنّه ليس كذلك، فللطرف الآخر حقّ‌ فسخ العقد.</w:t>
      </w:r>
    </w:p>
    <w:p w14:paraId="00DFC826" w14:textId="77777777" w:rsidR="00CA0BC4" w:rsidRDefault="00CA0BC4" w:rsidP="009251BE">
      <w:pPr>
        <w:widowControl w:val="0"/>
        <w:bidi/>
        <w:spacing w:after="0" w:line="245" w:lineRule="auto"/>
        <w:ind w:firstLine="284"/>
        <w:jc w:val="both"/>
        <w:rPr>
          <w:rFonts w:cs="Abz-2 (Badr)"/>
          <w:sz w:val="28"/>
          <w:szCs w:val="28"/>
          <w:rtl/>
          <w:lang w:bidi="fa-IR"/>
        </w:rPr>
      </w:pPr>
      <w:r w:rsidRPr="002163B1">
        <w:rPr>
          <w:rFonts w:cs="Abz-2 (Badr)"/>
          <w:sz w:val="28"/>
          <w:szCs w:val="28"/>
          <w:rtl/>
          <w:lang w:bidi="fa-IR"/>
        </w:rPr>
        <w:lastRenderedPageBreak/>
        <w:t>مسألة ٢٨٤٣</w:t>
      </w:r>
      <w:r>
        <w:rPr>
          <w:rFonts w:cs="Abz-2 (Badr)" w:hint="cs"/>
          <w:sz w:val="28"/>
          <w:szCs w:val="28"/>
          <w:rtl/>
          <w:lang w:bidi="fa-IR"/>
        </w:rPr>
        <w:t>:</w:t>
      </w:r>
      <w:r w:rsidRPr="002163B1">
        <w:rPr>
          <w:rFonts w:cs="Abz-2 (Badr)"/>
          <w:sz w:val="28"/>
          <w:szCs w:val="28"/>
          <w:rtl/>
          <w:lang w:bidi="fa-IR"/>
        </w:rPr>
        <w:t xml:space="preserve"> إذا جرت العادة أو العرف في مكان ما على وجود مواصفات خاصّة لطرفي العقد بنحو ينشأ العقد عرفاً على ذلك المبنى </w:t>
      </w:r>
      <w:r>
        <w:rPr>
          <w:rFonts w:cs="Abz-2 (Badr)" w:hint="cs"/>
          <w:sz w:val="28"/>
          <w:szCs w:val="28"/>
          <w:rtl/>
          <w:lang w:bidi="fa-IR"/>
        </w:rPr>
        <w:t>ـ</w:t>
      </w:r>
      <w:r w:rsidRPr="002163B1">
        <w:rPr>
          <w:rFonts w:cs="Abz-2 (Badr)"/>
          <w:sz w:val="28"/>
          <w:szCs w:val="28"/>
          <w:rtl/>
          <w:lang w:bidi="fa-IR"/>
        </w:rPr>
        <w:t xml:space="preserve"> كالبكارة في البنت </w:t>
      </w:r>
      <w:r>
        <w:rPr>
          <w:rFonts w:cs="Abz-2 (Badr)" w:hint="cs"/>
          <w:sz w:val="28"/>
          <w:szCs w:val="28"/>
          <w:rtl/>
          <w:lang w:bidi="fa-IR"/>
        </w:rPr>
        <w:t>ـ</w:t>
      </w:r>
      <w:r w:rsidRPr="002163B1">
        <w:rPr>
          <w:rFonts w:cs="Abz-2 (Badr)"/>
          <w:sz w:val="28"/>
          <w:szCs w:val="28"/>
          <w:rtl/>
          <w:lang w:bidi="fa-IR"/>
        </w:rPr>
        <w:t xml:space="preserve"> ثمّ‌ تبيّن أنّ‌ تلك الشروط أو المواصفات غير متوفّرة، فللطرف المقابل حقّ‌ فسخ العقد حتّى وإن لم تذكر تلك الشروط أو المواصفات صريحاً حين العقد.</w:t>
      </w:r>
      <w:r>
        <w:rPr>
          <w:rFonts w:cs="Abz-2 (Badr)" w:hint="cs"/>
          <w:sz w:val="28"/>
          <w:szCs w:val="28"/>
          <w:rtl/>
          <w:lang w:bidi="fa-IR"/>
        </w:rPr>
        <w:t>»</w:t>
      </w:r>
      <w:r w:rsidRPr="002D27AB">
        <w:rPr>
          <w:rStyle w:val="FootnoteReference"/>
          <w:rFonts w:cs="Abz-2 (Badr)"/>
          <w:sz w:val="28"/>
          <w:szCs w:val="28"/>
          <w:rtl/>
          <w:lang w:bidi="fa-IR"/>
        </w:rPr>
        <w:footnoteReference w:id="9"/>
      </w:r>
    </w:p>
    <w:sectPr w:rsidR="00CA0BC4">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63DFD7C9" w14:textId="77777777" w:rsidR="002E0246" w:rsidRPr="002D27AB" w:rsidRDefault="002E0246" w:rsidP="002E0246">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کافي،ج5،ص408،ح14 ـ وسائل،ج21،ص208،ح26909.</w:t>
      </w:r>
    </w:p>
  </w:footnote>
  <w:footnote w:id="2">
    <w:p w14:paraId="1D6637C0" w14:textId="77777777" w:rsidR="002E0246" w:rsidRPr="002D27AB" w:rsidRDefault="002E0246" w:rsidP="002E0246">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تهذيب،ج7،ص425،ح1698 ـ وسائل،ج21،ص219،ح26937.</w:t>
      </w:r>
    </w:p>
  </w:footnote>
  <w:footnote w:id="3">
    <w:p w14:paraId="757592A5" w14:textId="77777777" w:rsidR="002E0246" w:rsidRPr="002D27AB" w:rsidRDefault="002E0246" w:rsidP="002E0246">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کافي،ج5،ص355،ح4.</w:t>
      </w:r>
    </w:p>
  </w:footnote>
  <w:footnote w:id="4">
    <w:p w14:paraId="3A87B23D" w14:textId="77777777" w:rsidR="002E0246" w:rsidRPr="002D27AB" w:rsidRDefault="002E0246" w:rsidP="002E0246">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کافي،ج5،ص407،ح9 ـ وسائل،ج21،ص217 و 278،ح26934.</w:t>
      </w:r>
    </w:p>
  </w:footnote>
  <w:footnote w:id="5">
    <w:p w14:paraId="02CD9007" w14:textId="77777777" w:rsidR="002E0246" w:rsidRPr="002D27AB" w:rsidRDefault="002E0246" w:rsidP="002E0246">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تهذيب،ج7،ص424،ح1694 ـ وسائل،ج21،ص209،ح26913.</w:t>
      </w:r>
    </w:p>
  </w:footnote>
  <w:footnote w:id="6">
    <w:p w14:paraId="231B030F" w14:textId="77777777" w:rsidR="002E0246" w:rsidRPr="002D27AB" w:rsidRDefault="002E0246" w:rsidP="002E0246">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کافي،ج5،ص410،ح10 ـ وسائل،ج21،ص212 و 213،ح26922.</w:t>
      </w:r>
    </w:p>
  </w:footnote>
  <w:footnote w:id="7">
    <w:p w14:paraId="5E5117DD" w14:textId="77777777" w:rsidR="002E0246" w:rsidRPr="002D27AB" w:rsidRDefault="002E0246" w:rsidP="002E0246">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فقيه،ج3،ص433،ح4498 ـ وسائل،ج21،ص209،ح26910.</w:t>
      </w:r>
    </w:p>
  </w:footnote>
  <w:footnote w:id="8">
    <w:p w14:paraId="7E9814D3" w14:textId="77777777" w:rsidR="00CA0BC4" w:rsidRPr="002D27AB" w:rsidRDefault="00CA0BC4" w:rsidP="00CA0BC4">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تحرير الوسيلة،ج2،ص317 و 318.</w:t>
      </w:r>
    </w:p>
  </w:footnote>
  <w:footnote w:id="9">
    <w:p w14:paraId="2B63D704" w14:textId="77777777" w:rsidR="00CA0BC4" w:rsidRPr="002D27AB" w:rsidRDefault="00CA0BC4" w:rsidP="00CA0BC4">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نهج الرشاد،ص474.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F2E50"/>
    <w:rsid w:val="00101B80"/>
    <w:rsid w:val="001050A2"/>
    <w:rsid w:val="00145844"/>
    <w:rsid w:val="0029688A"/>
    <w:rsid w:val="002A09CF"/>
    <w:rsid w:val="002D27AB"/>
    <w:rsid w:val="002E0246"/>
    <w:rsid w:val="00331A5F"/>
    <w:rsid w:val="003A199D"/>
    <w:rsid w:val="00487869"/>
    <w:rsid w:val="005327C7"/>
    <w:rsid w:val="005532E0"/>
    <w:rsid w:val="0060689C"/>
    <w:rsid w:val="006C580F"/>
    <w:rsid w:val="0070259D"/>
    <w:rsid w:val="00703021"/>
    <w:rsid w:val="00706DD2"/>
    <w:rsid w:val="007374CF"/>
    <w:rsid w:val="00750FB1"/>
    <w:rsid w:val="008869B4"/>
    <w:rsid w:val="008F3842"/>
    <w:rsid w:val="00901208"/>
    <w:rsid w:val="009251BE"/>
    <w:rsid w:val="009A3CA7"/>
    <w:rsid w:val="009C1C9D"/>
    <w:rsid w:val="00A62A68"/>
    <w:rsid w:val="00A75FB0"/>
    <w:rsid w:val="00A96A24"/>
    <w:rsid w:val="00AB148E"/>
    <w:rsid w:val="00BB28BF"/>
    <w:rsid w:val="00C8378C"/>
    <w:rsid w:val="00C9572F"/>
    <w:rsid w:val="00CA0BC4"/>
    <w:rsid w:val="00CD52E6"/>
    <w:rsid w:val="00D22A70"/>
    <w:rsid w:val="00D663C8"/>
    <w:rsid w:val="00D97411"/>
    <w:rsid w:val="00E214D7"/>
    <w:rsid w:val="00E6533A"/>
    <w:rsid w:val="00EE25C0"/>
    <w:rsid w:val="00F46AE2"/>
    <w:rsid w:val="00F46E3E"/>
    <w:rsid w:val="00F71127"/>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9</cp:revision>
  <cp:lastPrinted>2022-10-08T18:48:00Z</cp:lastPrinted>
  <dcterms:created xsi:type="dcterms:W3CDTF">2022-10-08T06:35:00Z</dcterms:created>
  <dcterms:modified xsi:type="dcterms:W3CDTF">2022-10-10T11:36:00Z</dcterms:modified>
</cp:coreProperties>
</file>