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901208">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29D92BA5"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70259D">
        <w:rPr>
          <w:rFonts w:cs="B Mitra" w:hint="cs"/>
          <w:b/>
          <w:bCs/>
          <w:sz w:val="32"/>
          <w:szCs w:val="32"/>
          <w:rtl/>
          <w:lang w:bidi="fa-IR"/>
        </w:rPr>
        <w:t>487</w:t>
      </w:r>
    </w:p>
    <w:p w14:paraId="704BC0B0" w14:textId="77777777" w:rsidR="00BB28BF" w:rsidRDefault="00BB28BF" w:rsidP="00BB28BF">
      <w:pPr>
        <w:widowControl w:val="0"/>
        <w:bidi/>
        <w:spacing w:after="0"/>
        <w:ind w:firstLine="284"/>
        <w:jc w:val="both"/>
        <w:rPr>
          <w:rFonts w:cs="Abz-2 (Badr)"/>
          <w:sz w:val="28"/>
          <w:szCs w:val="28"/>
          <w:rtl/>
        </w:rPr>
      </w:pPr>
      <w:r>
        <w:rPr>
          <w:rFonts w:cs="Abz-2 (Badr)" w:hint="cs"/>
          <w:sz w:val="28"/>
          <w:szCs w:val="28"/>
          <w:rtl/>
        </w:rPr>
        <w:t>چنانچه زوجه راضی به عنن نشده و مرافعه کند، حاکم به زوج يک سال مهلت می</w:t>
      </w:r>
      <w:r>
        <w:rPr>
          <w:rFonts w:cs="Abz-2 (Badr)"/>
          <w:sz w:val="28"/>
          <w:szCs w:val="28"/>
          <w:rtl/>
        </w:rPr>
        <w:softHyphen/>
      </w:r>
      <w:r>
        <w:rPr>
          <w:rFonts w:cs="Abz-2 (Badr)" w:hint="cs"/>
          <w:sz w:val="28"/>
          <w:szCs w:val="28"/>
          <w:rtl/>
        </w:rPr>
        <w:t>دهد و اگر در خلال اين يک سال زوج متمکّن از وطی شود، زوجه ديگر حق فسخ نخواهد داشت وگرنه می</w:t>
      </w:r>
      <w:r>
        <w:rPr>
          <w:rFonts w:cs="Abz-2 (Badr)"/>
          <w:sz w:val="28"/>
          <w:szCs w:val="28"/>
          <w:rtl/>
        </w:rPr>
        <w:softHyphen/>
      </w:r>
      <w:r>
        <w:rPr>
          <w:rFonts w:cs="Abz-2 (Badr)" w:hint="cs"/>
          <w:sz w:val="28"/>
          <w:szCs w:val="28"/>
          <w:rtl/>
        </w:rPr>
        <w:t>تواند نکاح را فسخ کند و دليل اين مطلب اخباری است که در اين خصوص وارد شده است که يکی از آنها خبر ابی البختری است که گذشت.</w:t>
      </w:r>
    </w:p>
    <w:p w14:paraId="252C1221" w14:textId="77777777" w:rsidR="00BB28BF" w:rsidRDefault="00BB28BF" w:rsidP="00BB28BF">
      <w:pPr>
        <w:widowControl w:val="0"/>
        <w:bidi/>
        <w:spacing w:after="0"/>
        <w:ind w:firstLine="284"/>
        <w:jc w:val="both"/>
        <w:rPr>
          <w:rFonts w:cs="Abz-2 (Badr)"/>
          <w:sz w:val="28"/>
          <w:szCs w:val="28"/>
          <w:rtl/>
        </w:rPr>
      </w:pPr>
      <w:r>
        <w:rPr>
          <w:rFonts w:cs="Abz-2 (Badr)" w:hint="cs"/>
          <w:sz w:val="28"/>
          <w:szCs w:val="28"/>
          <w:rtl/>
        </w:rPr>
        <w:t xml:space="preserve">ومنها: صحيحة </w:t>
      </w:r>
      <w:r w:rsidRPr="00C8378C">
        <w:rPr>
          <w:rFonts w:cs="Abz-2 (Badr)"/>
          <w:sz w:val="28"/>
          <w:szCs w:val="28"/>
          <w:rtl/>
        </w:rPr>
        <w:t>أبي</w:t>
      </w:r>
      <w:r>
        <w:rPr>
          <w:rFonts w:cs="Abz-2 (Badr)"/>
          <w:sz w:val="28"/>
          <w:szCs w:val="28"/>
          <w:rtl/>
        </w:rPr>
        <w:softHyphen/>
      </w:r>
      <w:r w:rsidRPr="00C8378C">
        <w:rPr>
          <w:rFonts w:cs="Abz-2 (Badr)"/>
          <w:sz w:val="28"/>
          <w:szCs w:val="28"/>
          <w:rtl/>
        </w:rPr>
        <w:t>بصير</w:t>
      </w:r>
      <w:r>
        <w:rPr>
          <w:rFonts w:cs="Abz-2 (Badr)" w:hint="cs"/>
          <w:sz w:val="28"/>
          <w:szCs w:val="28"/>
          <w:rtl/>
          <w:lang w:bidi="fa-IR"/>
        </w:rPr>
        <w:t>،</w:t>
      </w:r>
      <w:r w:rsidRPr="00C8378C">
        <w:rPr>
          <w:rFonts w:cs="Abz-2 (Badr)"/>
          <w:sz w:val="28"/>
          <w:szCs w:val="28"/>
          <w:rtl/>
        </w:rPr>
        <w:t xml:space="preserve"> قال‌: </w:t>
      </w:r>
      <w:r>
        <w:rPr>
          <w:rFonts w:cs="Abz-2 (Badr)" w:hint="cs"/>
          <w:sz w:val="28"/>
          <w:szCs w:val="28"/>
          <w:rtl/>
        </w:rPr>
        <w:t>«</w:t>
      </w:r>
      <w:r w:rsidRPr="00C8378C">
        <w:rPr>
          <w:rFonts w:cs="Abz-2 (Badr)"/>
          <w:sz w:val="28"/>
          <w:szCs w:val="28"/>
          <w:rtl/>
        </w:rPr>
        <w:t>سألت‌ أبا عبدالله‌</w:t>
      </w:r>
      <w:r>
        <w:rPr>
          <w:rFonts w:cs="Abz-2 (Badr)" w:hint="cs"/>
          <w:sz w:val="28"/>
          <w:szCs w:val="28"/>
          <w:rtl/>
        </w:rPr>
        <w:t>(ع)</w:t>
      </w:r>
      <w:r w:rsidRPr="00C8378C">
        <w:rPr>
          <w:rFonts w:cs="Abz-2 (Badr)"/>
          <w:sz w:val="28"/>
          <w:szCs w:val="28"/>
          <w:rtl/>
        </w:rPr>
        <w:t xml:space="preserve"> عن‌ امرأة‌ ابتلي‌ زوجها فلا يقدر على الجماع</w:t>
      </w:r>
      <w:r>
        <w:rPr>
          <w:rFonts w:cs="Abz-2 (Badr)" w:hint="cs"/>
          <w:sz w:val="28"/>
          <w:szCs w:val="28"/>
          <w:rtl/>
        </w:rPr>
        <w:t>،</w:t>
      </w:r>
      <w:r w:rsidRPr="00C8378C">
        <w:rPr>
          <w:rFonts w:cs="Abz-2 (Badr)"/>
          <w:sz w:val="28"/>
          <w:szCs w:val="28"/>
          <w:rtl/>
        </w:rPr>
        <w:t xml:space="preserve">‌ </w:t>
      </w:r>
      <w:r>
        <w:rPr>
          <w:rFonts w:cs="Abz-2 (Badr)" w:hint="cs"/>
          <w:sz w:val="28"/>
          <w:szCs w:val="28"/>
          <w:rtl/>
        </w:rPr>
        <w:t>أ</w:t>
      </w:r>
      <w:r w:rsidRPr="00C8378C">
        <w:rPr>
          <w:rFonts w:cs="Abz-2 (Badr)"/>
          <w:sz w:val="28"/>
          <w:szCs w:val="28"/>
          <w:rtl/>
        </w:rPr>
        <w:t>تفارقه‌</w:t>
      </w:r>
      <w:r>
        <w:rPr>
          <w:rFonts w:cs="Abz-2 (Badr)" w:hint="cs"/>
          <w:sz w:val="28"/>
          <w:szCs w:val="28"/>
          <w:rtl/>
        </w:rPr>
        <w:t>؟</w:t>
      </w:r>
      <w:r w:rsidRPr="00C8378C">
        <w:rPr>
          <w:rFonts w:cs="Abz-2 (Badr)"/>
          <w:sz w:val="28"/>
          <w:szCs w:val="28"/>
          <w:rtl/>
        </w:rPr>
        <w:t xml:space="preserve"> قال</w:t>
      </w:r>
      <w:r>
        <w:rPr>
          <w:rFonts w:cs="Abz-2 (Badr)" w:hint="cs"/>
          <w:sz w:val="28"/>
          <w:szCs w:val="28"/>
          <w:rtl/>
        </w:rPr>
        <w:t>:</w:t>
      </w:r>
      <w:r w:rsidRPr="00C8378C">
        <w:rPr>
          <w:rFonts w:cs="Abz-2 (Badr)"/>
          <w:sz w:val="28"/>
          <w:szCs w:val="28"/>
          <w:rtl/>
        </w:rPr>
        <w:t>‌ نعم</w:t>
      </w:r>
      <w:r>
        <w:rPr>
          <w:rFonts w:cs="Abz-2 (Badr)" w:hint="cs"/>
          <w:sz w:val="28"/>
          <w:szCs w:val="28"/>
          <w:rtl/>
        </w:rPr>
        <w:t>،</w:t>
      </w:r>
      <w:r w:rsidRPr="00C8378C">
        <w:rPr>
          <w:rFonts w:cs="Abz-2 (Badr)"/>
          <w:sz w:val="28"/>
          <w:szCs w:val="28"/>
          <w:rtl/>
        </w:rPr>
        <w:t>‌ إن‌ شاءت</w:t>
      </w:r>
      <w:r>
        <w:rPr>
          <w:rFonts w:cs="Abz-2 (Badr)" w:hint="cs"/>
          <w:sz w:val="28"/>
          <w:szCs w:val="28"/>
          <w:rtl/>
        </w:rPr>
        <w:t>.</w:t>
      </w:r>
    </w:p>
    <w:p w14:paraId="26C04EF0" w14:textId="77777777" w:rsidR="00BB28BF" w:rsidRDefault="00BB28BF" w:rsidP="00BB28BF">
      <w:pPr>
        <w:widowControl w:val="0"/>
        <w:bidi/>
        <w:spacing w:after="0"/>
        <w:ind w:firstLine="284"/>
        <w:jc w:val="both"/>
        <w:rPr>
          <w:rFonts w:cs="Abz-2 (Badr)"/>
          <w:sz w:val="28"/>
          <w:szCs w:val="28"/>
          <w:rtl/>
        </w:rPr>
      </w:pPr>
      <w:r w:rsidRPr="00C8378C">
        <w:rPr>
          <w:rFonts w:cs="Abz-2 (Badr)"/>
          <w:sz w:val="28"/>
          <w:szCs w:val="28"/>
          <w:rtl/>
        </w:rPr>
        <w:t>قال‌ ابن‌ مسكان</w:t>
      </w:r>
      <w:r>
        <w:rPr>
          <w:rFonts w:cs="Abz-2 (Badr)" w:hint="cs"/>
          <w:sz w:val="28"/>
          <w:szCs w:val="28"/>
          <w:rtl/>
        </w:rPr>
        <w:t>:</w:t>
      </w:r>
      <w:r w:rsidRPr="00C8378C">
        <w:rPr>
          <w:rFonts w:cs="Abz-2 (Badr)"/>
          <w:sz w:val="28"/>
          <w:szCs w:val="28"/>
          <w:rtl/>
        </w:rPr>
        <w:t>‌ وفي حديث‌ آخر</w:t>
      </w:r>
      <w:r>
        <w:rPr>
          <w:rFonts w:cs="Abz-2 (Badr)" w:hint="cs"/>
          <w:sz w:val="28"/>
          <w:szCs w:val="28"/>
          <w:rtl/>
        </w:rPr>
        <w:t>:</w:t>
      </w:r>
      <w:r w:rsidRPr="00C8378C">
        <w:rPr>
          <w:rFonts w:cs="Abz-2 (Badr)"/>
          <w:sz w:val="28"/>
          <w:szCs w:val="28"/>
          <w:rtl/>
        </w:rPr>
        <w:t xml:space="preserve"> تنتظر سنة</w:t>
      </w:r>
      <w:r>
        <w:rPr>
          <w:rFonts w:cs="Abz-2 (Badr)" w:hint="cs"/>
          <w:sz w:val="28"/>
          <w:szCs w:val="28"/>
          <w:rtl/>
        </w:rPr>
        <w:t xml:space="preserve">، </w:t>
      </w:r>
      <w:r w:rsidRPr="00C8378C">
        <w:rPr>
          <w:rFonts w:cs="Abz-2 (Badr)"/>
          <w:sz w:val="28"/>
          <w:szCs w:val="28"/>
          <w:rtl/>
        </w:rPr>
        <w:t>فإن‌ أتاها وإلا فارقته</w:t>
      </w:r>
      <w:r>
        <w:rPr>
          <w:rFonts w:cs="Abz-2 (Badr)" w:hint="cs"/>
          <w:sz w:val="28"/>
          <w:szCs w:val="28"/>
          <w:rtl/>
        </w:rPr>
        <w:t>،</w:t>
      </w:r>
      <w:r w:rsidRPr="00C8378C">
        <w:rPr>
          <w:rFonts w:cs="Abz-2 (Badr)"/>
          <w:sz w:val="28"/>
          <w:szCs w:val="28"/>
          <w:rtl/>
        </w:rPr>
        <w:t>‌ فإن‌ أحبّت‌ أن‌ تقيم‌ معه‌ فلتقم‌.</w:t>
      </w:r>
      <w:r>
        <w:rPr>
          <w:rFonts w:cs="Abz-2 (Badr)" w:hint="cs"/>
          <w:sz w:val="28"/>
          <w:szCs w:val="28"/>
          <w:rtl/>
        </w:rPr>
        <w:t>»</w:t>
      </w:r>
      <w:r w:rsidRPr="002D27AB">
        <w:rPr>
          <w:rStyle w:val="FootnoteReference"/>
          <w:rFonts w:cs="Abz-2 (Badr)"/>
          <w:sz w:val="28"/>
          <w:szCs w:val="28"/>
          <w:rtl/>
          <w:lang w:bidi="fa-IR"/>
        </w:rPr>
        <w:footnoteReference w:id="1"/>
      </w:r>
    </w:p>
    <w:p w14:paraId="3AA10396" w14:textId="77777777" w:rsidR="00BB28BF" w:rsidRDefault="00BB28BF" w:rsidP="00BB28BF">
      <w:pPr>
        <w:widowControl w:val="0"/>
        <w:bidi/>
        <w:spacing w:after="0"/>
        <w:ind w:firstLine="284"/>
        <w:jc w:val="both"/>
        <w:rPr>
          <w:rFonts w:cs="Abz-2 (Badr)"/>
          <w:sz w:val="28"/>
          <w:szCs w:val="28"/>
          <w:rtl/>
        </w:rPr>
      </w:pPr>
      <w:r>
        <w:rPr>
          <w:rFonts w:cs="Abz-2 (Badr)" w:hint="cs"/>
          <w:sz w:val="28"/>
          <w:szCs w:val="28"/>
          <w:rtl/>
        </w:rPr>
        <w:t xml:space="preserve">ومنها: صحيحة </w:t>
      </w:r>
      <w:r w:rsidRPr="008869B4">
        <w:rPr>
          <w:rFonts w:cs="Abz-2 (Badr)"/>
          <w:sz w:val="28"/>
          <w:szCs w:val="28"/>
          <w:rtl/>
        </w:rPr>
        <w:t>محمّد بن‌ مسلم‌ عن‌ أبي جعفر</w:t>
      </w:r>
      <w:r>
        <w:rPr>
          <w:rFonts w:cs="Abz-2 (Badr)" w:hint="cs"/>
          <w:sz w:val="28"/>
          <w:szCs w:val="28"/>
          <w:rtl/>
        </w:rPr>
        <w:t>(ع)،</w:t>
      </w:r>
      <w:r w:rsidRPr="008869B4">
        <w:rPr>
          <w:rFonts w:cs="Abz-2 (Badr)"/>
          <w:sz w:val="28"/>
          <w:szCs w:val="28"/>
          <w:rtl/>
        </w:rPr>
        <w:t>‌ قال‌: «العنّين‌ يتربّص‌ به‌ سنة</w:t>
      </w:r>
      <w:r>
        <w:rPr>
          <w:rFonts w:cs="Abz-2 (Badr)" w:hint="cs"/>
          <w:sz w:val="28"/>
          <w:szCs w:val="28"/>
          <w:rtl/>
        </w:rPr>
        <w:t xml:space="preserve">، </w:t>
      </w:r>
      <w:r w:rsidRPr="008869B4">
        <w:rPr>
          <w:rFonts w:cs="Abz-2 (Badr)"/>
          <w:sz w:val="28"/>
          <w:szCs w:val="28"/>
          <w:rtl/>
        </w:rPr>
        <w:t>ثمّ‌ إن‌ شاءت‌ امرأته‌ تزوّجت‌ وإن‌ شاءت‌ أقامت‌</w:t>
      </w:r>
      <w:r>
        <w:rPr>
          <w:rFonts w:cs="Abz-2 (Badr)" w:hint="cs"/>
          <w:sz w:val="28"/>
          <w:szCs w:val="28"/>
          <w:rtl/>
        </w:rPr>
        <w:t>.</w:t>
      </w:r>
      <w:r w:rsidRPr="008869B4">
        <w:rPr>
          <w:rFonts w:cs="Abz-2 (Badr)"/>
          <w:sz w:val="28"/>
          <w:szCs w:val="28"/>
          <w:rtl/>
        </w:rPr>
        <w:t>»</w:t>
      </w:r>
      <w:r w:rsidRPr="002D27AB">
        <w:rPr>
          <w:rStyle w:val="FootnoteReference"/>
          <w:rFonts w:cs="Abz-2 (Badr)"/>
          <w:sz w:val="28"/>
          <w:szCs w:val="28"/>
          <w:rtl/>
          <w:lang w:bidi="fa-IR"/>
        </w:rPr>
        <w:footnoteReference w:id="2"/>
      </w:r>
    </w:p>
    <w:p w14:paraId="4E136663" w14:textId="77777777" w:rsidR="00BB28BF" w:rsidRPr="00745077" w:rsidRDefault="00BB28BF" w:rsidP="00BB28BF">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rPr>
        <w:t xml:space="preserve">ومنها: صحيحة </w:t>
      </w:r>
      <w:r w:rsidRPr="00745077">
        <w:rPr>
          <w:rFonts w:cs="Abz-2 (Badr)"/>
          <w:sz w:val="28"/>
          <w:szCs w:val="28"/>
          <w:rtl/>
        </w:rPr>
        <w:t>أبي حمزة‌</w:t>
      </w:r>
      <w:r>
        <w:rPr>
          <w:rFonts w:cs="Abz-2 (Badr)" w:hint="cs"/>
          <w:sz w:val="28"/>
          <w:szCs w:val="28"/>
          <w:rtl/>
          <w:lang w:bidi="fa-IR"/>
        </w:rPr>
        <w:t>،</w:t>
      </w:r>
      <w:r w:rsidRPr="00745077">
        <w:rPr>
          <w:rFonts w:cs="Abz-2 (Badr)"/>
          <w:sz w:val="28"/>
          <w:szCs w:val="28"/>
          <w:rtl/>
        </w:rPr>
        <w:t xml:space="preserve"> قال</w:t>
      </w:r>
      <w:r>
        <w:rPr>
          <w:rFonts w:cs="Abz-2 (Badr)" w:hint="cs"/>
          <w:sz w:val="28"/>
          <w:szCs w:val="28"/>
          <w:rtl/>
        </w:rPr>
        <w:t>: «</w:t>
      </w:r>
      <w:r w:rsidRPr="00745077">
        <w:rPr>
          <w:rFonts w:cs="Abz-2 (Badr)"/>
          <w:sz w:val="28"/>
          <w:szCs w:val="28"/>
          <w:rtl/>
        </w:rPr>
        <w:t>سمعت‌ أبا جعفر</w:t>
      </w:r>
      <w:r>
        <w:rPr>
          <w:rFonts w:cs="Abz-2 (Badr)" w:hint="cs"/>
          <w:sz w:val="28"/>
          <w:szCs w:val="28"/>
          <w:rtl/>
        </w:rPr>
        <w:t xml:space="preserve">(ع) </w:t>
      </w:r>
      <w:r w:rsidRPr="00745077">
        <w:rPr>
          <w:rFonts w:cs="Abz-2 (Badr)"/>
          <w:sz w:val="28"/>
          <w:szCs w:val="28"/>
          <w:rtl/>
        </w:rPr>
        <w:t>يقول‌: إذا تزوّج‌ الرجل‌ المرأة‌ الثيّب‌ التي تزوّجت‌ زوجا</w:t>
      </w:r>
      <w:r>
        <w:rPr>
          <w:rFonts w:cs="Abz-2 (Badr)" w:hint="cs"/>
          <w:sz w:val="28"/>
          <w:szCs w:val="28"/>
          <w:rtl/>
        </w:rPr>
        <w:t>ً</w:t>
      </w:r>
      <w:r w:rsidRPr="00745077">
        <w:rPr>
          <w:rFonts w:cs="Abz-2 (Badr)"/>
          <w:sz w:val="28"/>
          <w:szCs w:val="28"/>
          <w:rtl/>
        </w:rPr>
        <w:t xml:space="preserve"> غيره‌ فزعمت‌ أنّه‌ لم‌ يقربها منذ دخل‌ بها</w:t>
      </w:r>
      <w:r>
        <w:rPr>
          <w:rFonts w:cs="Abz-2 (Badr)" w:hint="cs"/>
          <w:sz w:val="28"/>
          <w:szCs w:val="28"/>
          <w:rtl/>
        </w:rPr>
        <w:t>،</w:t>
      </w:r>
      <w:r w:rsidRPr="00745077">
        <w:rPr>
          <w:rFonts w:cs="Abz-2 (Badr)"/>
          <w:sz w:val="28"/>
          <w:szCs w:val="28"/>
          <w:rtl/>
        </w:rPr>
        <w:t xml:space="preserve"> فإنّ‌ القول‌ في ذلك‌ قول‌ الرجل‌ وعليه‌ أن‌ يحلف‌ بالله‌ لقد جامعها</w:t>
      </w:r>
      <w:r>
        <w:rPr>
          <w:rFonts w:cs="Abz-2 (Badr)" w:hint="cs"/>
          <w:sz w:val="28"/>
          <w:szCs w:val="28"/>
          <w:rtl/>
        </w:rPr>
        <w:t>،</w:t>
      </w:r>
      <w:r w:rsidRPr="00745077">
        <w:rPr>
          <w:rFonts w:cs="Abz-2 (Badr)"/>
          <w:sz w:val="28"/>
          <w:szCs w:val="28"/>
          <w:rtl/>
        </w:rPr>
        <w:t xml:space="preserve"> لأنّها المدّعية</w:t>
      </w:r>
      <w:r>
        <w:rPr>
          <w:rFonts w:cs="Abz-2 (Badr)" w:hint="cs"/>
          <w:sz w:val="28"/>
          <w:szCs w:val="28"/>
          <w:rtl/>
        </w:rPr>
        <w:t>.</w:t>
      </w:r>
      <w:r w:rsidRPr="00745077">
        <w:rPr>
          <w:rFonts w:cs="Abz-2 (Badr)"/>
          <w:sz w:val="28"/>
          <w:szCs w:val="28"/>
          <w:rtl/>
        </w:rPr>
        <w:t xml:space="preserve"> قال</w:t>
      </w:r>
      <w:r>
        <w:rPr>
          <w:rFonts w:cs="Abz-2 (Badr)" w:hint="cs"/>
          <w:sz w:val="28"/>
          <w:szCs w:val="28"/>
          <w:rtl/>
        </w:rPr>
        <w:t>:</w:t>
      </w:r>
      <w:r w:rsidRPr="00745077">
        <w:rPr>
          <w:rFonts w:cs="Abz-2 (Badr)"/>
          <w:sz w:val="28"/>
          <w:szCs w:val="28"/>
          <w:rtl/>
        </w:rPr>
        <w:t>‌ فإن‌ تزوّج</w:t>
      </w:r>
      <w:r>
        <w:rPr>
          <w:rFonts w:cs="Abz-2 (Badr)" w:hint="cs"/>
          <w:sz w:val="28"/>
          <w:szCs w:val="28"/>
          <w:rtl/>
        </w:rPr>
        <w:t>ها</w:t>
      </w:r>
      <w:r w:rsidRPr="00745077">
        <w:rPr>
          <w:rFonts w:cs="Abz-2 (Badr)"/>
          <w:sz w:val="28"/>
          <w:szCs w:val="28"/>
          <w:rtl/>
        </w:rPr>
        <w:t xml:space="preserve"> وهي‌ بكر فزعمت‌ أنّه‌ لم‌ يصل‌ إليها</w:t>
      </w:r>
      <w:r>
        <w:rPr>
          <w:rFonts w:cs="Abz-2 (Badr)" w:hint="cs"/>
          <w:sz w:val="28"/>
          <w:szCs w:val="28"/>
          <w:rtl/>
        </w:rPr>
        <w:t>،</w:t>
      </w:r>
      <w:r w:rsidRPr="00745077">
        <w:rPr>
          <w:rFonts w:cs="Abz-2 (Badr)"/>
          <w:sz w:val="28"/>
          <w:szCs w:val="28"/>
          <w:rtl/>
        </w:rPr>
        <w:t xml:space="preserve"> فإنّ‌ مثل‌ هذا </w:t>
      </w:r>
      <w:r>
        <w:rPr>
          <w:rFonts w:cs="Abz-2 (Badr)" w:hint="cs"/>
          <w:sz w:val="28"/>
          <w:szCs w:val="28"/>
          <w:rtl/>
        </w:rPr>
        <w:t>ي</w:t>
      </w:r>
      <w:r w:rsidRPr="00745077">
        <w:rPr>
          <w:rFonts w:cs="Abz-2 (Badr)"/>
          <w:sz w:val="28"/>
          <w:szCs w:val="28"/>
          <w:rtl/>
        </w:rPr>
        <w:t>عرف‌ النساء</w:t>
      </w:r>
      <w:r>
        <w:rPr>
          <w:rFonts w:cs="Abz-2 (Badr)" w:hint="cs"/>
          <w:sz w:val="28"/>
          <w:szCs w:val="28"/>
          <w:rtl/>
        </w:rPr>
        <w:t>،</w:t>
      </w:r>
      <w:r w:rsidRPr="00745077">
        <w:rPr>
          <w:rFonts w:cs="Abz-2 (Badr)"/>
          <w:sz w:val="28"/>
          <w:szCs w:val="28"/>
          <w:rtl/>
        </w:rPr>
        <w:t>‌ فلينظر إليها من‌ يوثق‌ به‌ منهنّ‌</w:t>
      </w:r>
      <w:r>
        <w:rPr>
          <w:rFonts w:cs="Abz-2 (Badr)" w:hint="cs"/>
          <w:sz w:val="28"/>
          <w:szCs w:val="28"/>
          <w:rtl/>
        </w:rPr>
        <w:t>،</w:t>
      </w:r>
      <w:r w:rsidRPr="00745077">
        <w:rPr>
          <w:rFonts w:cs="Abz-2 (Badr)"/>
          <w:sz w:val="28"/>
          <w:szCs w:val="28"/>
          <w:rtl/>
        </w:rPr>
        <w:t xml:space="preserve"> فإذا ذكرت‌ أنّها عذراء‌ فعلى الإمام‌ أن‌ يؤجّله‌ سنة</w:t>
      </w:r>
      <w:r>
        <w:rPr>
          <w:rFonts w:cs="Abz-2 (Badr)" w:hint="cs"/>
          <w:sz w:val="28"/>
          <w:szCs w:val="28"/>
          <w:rtl/>
        </w:rPr>
        <w:t>،</w:t>
      </w:r>
      <w:r w:rsidRPr="00745077">
        <w:rPr>
          <w:rFonts w:cs="Abz-2 (Badr)"/>
          <w:sz w:val="28"/>
          <w:szCs w:val="28"/>
          <w:rtl/>
        </w:rPr>
        <w:t>‌ فإن‌ وصل‌ إليها وإلا فرّق‌ بينهما وأ</w:t>
      </w:r>
      <w:r>
        <w:rPr>
          <w:rFonts w:cs="Abz-2 (Badr)" w:hint="cs"/>
          <w:sz w:val="28"/>
          <w:szCs w:val="28"/>
          <w:rtl/>
        </w:rPr>
        <w:t>ُ</w:t>
      </w:r>
      <w:r w:rsidRPr="00745077">
        <w:rPr>
          <w:rFonts w:cs="Abz-2 (Badr)"/>
          <w:sz w:val="28"/>
          <w:szCs w:val="28"/>
          <w:rtl/>
        </w:rPr>
        <w:t>عطيت‌ نصف‌ الصداق‌ ولا عدّة‌ عليها.</w:t>
      </w:r>
      <w:r>
        <w:rPr>
          <w:rFonts w:cs="Abz-2 (Badr)" w:hint="cs"/>
          <w:sz w:val="28"/>
          <w:szCs w:val="28"/>
          <w:rtl/>
        </w:rPr>
        <w:t>»</w:t>
      </w:r>
      <w:r w:rsidRPr="002D27AB">
        <w:rPr>
          <w:rStyle w:val="FootnoteReference"/>
          <w:rFonts w:cs="Abz-2 (Badr)"/>
          <w:sz w:val="28"/>
          <w:szCs w:val="28"/>
          <w:rtl/>
          <w:lang w:bidi="fa-IR"/>
        </w:rPr>
        <w:footnoteReference w:id="3"/>
      </w:r>
    </w:p>
    <w:p w14:paraId="594BB616" w14:textId="77777777" w:rsidR="00BB28BF" w:rsidRPr="008869B4" w:rsidRDefault="00BB28BF" w:rsidP="00BB28BF">
      <w:pPr>
        <w:widowControl w:val="0"/>
        <w:bidi/>
        <w:spacing w:after="0"/>
        <w:ind w:firstLine="284"/>
        <w:jc w:val="both"/>
        <w:rPr>
          <w:rFonts w:cs="Abz-2 (Badr)"/>
          <w:sz w:val="28"/>
          <w:szCs w:val="28"/>
          <w:rtl/>
        </w:rPr>
      </w:pPr>
      <w:r>
        <w:rPr>
          <w:rFonts w:cs="Abz-2 (Badr)" w:hint="cs"/>
          <w:sz w:val="28"/>
          <w:szCs w:val="28"/>
          <w:rtl/>
        </w:rPr>
        <w:t>ومنها:</w:t>
      </w:r>
      <w:r w:rsidRPr="00E6533A">
        <w:rPr>
          <w:rFonts w:cs="Abz-2 (Badr)" w:hint="cs"/>
          <w:sz w:val="28"/>
          <w:szCs w:val="28"/>
          <w:rtl/>
        </w:rPr>
        <w:t xml:space="preserve"> صحيحة الحسين بن علوان عن جعفر بن محمّد</w:t>
      </w:r>
      <w:r>
        <w:rPr>
          <w:rFonts w:cs="Abz-2 (Badr)" w:hint="cs"/>
          <w:sz w:val="28"/>
          <w:szCs w:val="28"/>
          <w:rtl/>
        </w:rPr>
        <w:t>(ع)</w:t>
      </w:r>
      <w:r w:rsidRPr="00E6533A">
        <w:rPr>
          <w:rFonts w:cs="Abz-2 (Badr)" w:hint="cs"/>
          <w:sz w:val="28"/>
          <w:szCs w:val="28"/>
          <w:rtl/>
        </w:rPr>
        <w:t xml:space="preserve"> عن أبيه</w:t>
      </w:r>
      <w:r>
        <w:rPr>
          <w:rFonts w:cs="Abz-2 (Badr)" w:hint="cs"/>
          <w:sz w:val="28"/>
          <w:szCs w:val="28"/>
          <w:rtl/>
        </w:rPr>
        <w:t>(ع)</w:t>
      </w:r>
      <w:r w:rsidRPr="00E6533A">
        <w:rPr>
          <w:rFonts w:cs="Abz-2 (Badr)" w:hint="cs"/>
          <w:sz w:val="28"/>
          <w:szCs w:val="28"/>
          <w:rtl/>
        </w:rPr>
        <w:t xml:space="preserve"> عن علي(ع): </w:t>
      </w:r>
      <w:r w:rsidRPr="00E6533A">
        <w:rPr>
          <w:rFonts w:cs="Abz-2 (Badr)"/>
          <w:sz w:val="28"/>
          <w:szCs w:val="28"/>
          <w:rtl/>
        </w:rPr>
        <w:t>«أنّه كان يقضي في العنّين أنّه يؤجّل سنة من يوم ترافعه المرأة.»</w:t>
      </w:r>
      <w:r w:rsidRPr="002D27AB">
        <w:rPr>
          <w:rStyle w:val="FootnoteReference"/>
          <w:rFonts w:cs="Abz-2 (Badr)"/>
          <w:sz w:val="28"/>
          <w:szCs w:val="28"/>
          <w:rtl/>
          <w:lang w:bidi="fa-IR"/>
        </w:rPr>
        <w:footnoteReference w:id="4"/>
      </w:r>
    </w:p>
    <w:p w14:paraId="489546D4" w14:textId="77777777" w:rsidR="00BB28BF" w:rsidRPr="00EB5D9B" w:rsidRDefault="00BB28BF" w:rsidP="00BB28BF">
      <w:pPr>
        <w:widowControl w:val="0"/>
        <w:bidi/>
        <w:spacing w:after="0"/>
        <w:ind w:firstLine="284"/>
        <w:jc w:val="both"/>
        <w:rPr>
          <w:rFonts w:cs="Abz-2 (Badr)"/>
          <w:sz w:val="28"/>
          <w:szCs w:val="28"/>
          <w:rtl/>
        </w:rPr>
      </w:pPr>
      <w:r w:rsidRPr="00EB5D9B">
        <w:rPr>
          <w:rFonts w:cs="Abz-2 (Badr)" w:hint="cs"/>
          <w:sz w:val="28"/>
          <w:szCs w:val="28"/>
          <w:rtl/>
        </w:rPr>
        <w:t xml:space="preserve">ومنها: مرسلة الصدوق في المقنع، قال: </w:t>
      </w:r>
      <w:r>
        <w:rPr>
          <w:rFonts w:cs="Abz-2 (Badr)" w:hint="cs"/>
          <w:sz w:val="28"/>
          <w:szCs w:val="28"/>
          <w:rtl/>
        </w:rPr>
        <w:t>«</w:t>
      </w:r>
      <w:r w:rsidRPr="00EB5D9B">
        <w:rPr>
          <w:rFonts w:cs="Abz-2 (Badr)"/>
          <w:sz w:val="28"/>
          <w:szCs w:val="28"/>
          <w:rtl/>
        </w:rPr>
        <w:t>روي أنّه تنتظر به سنة، فانّ‌ أتاها وإلا فارقته إن أحبّت</w:t>
      </w:r>
      <w:r>
        <w:rPr>
          <w:rFonts w:cs="Abz-2 (Badr)" w:hint="cs"/>
          <w:sz w:val="28"/>
          <w:szCs w:val="28"/>
          <w:rtl/>
        </w:rPr>
        <w:t>.»</w:t>
      </w:r>
      <w:r w:rsidRPr="002D27AB">
        <w:rPr>
          <w:rStyle w:val="FootnoteReference"/>
          <w:rFonts w:cs="Abz-2 (Badr)"/>
          <w:sz w:val="28"/>
          <w:szCs w:val="28"/>
          <w:rtl/>
          <w:lang w:bidi="fa-IR"/>
        </w:rPr>
        <w:footnoteReference w:id="5"/>
      </w:r>
    </w:p>
    <w:p w14:paraId="21CB0EE1" w14:textId="77777777" w:rsidR="00BB28BF" w:rsidRPr="008869B4" w:rsidRDefault="00BB28BF" w:rsidP="00BB28BF">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rPr>
        <w:t>ومنها:</w:t>
      </w:r>
      <w:r w:rsidRPr="008869B4">
        <w:rPr>
          <w:rFonts w:cs="Abz-2 (Badr)" w:hint="cs"/>
          <w:sz w:val="28"/>
          <w:szCs w:val="28"/>
          <w:rtl/>
        </w:rPr>
        <w:t xml:space="preserve"> رواية </w:t>
      </w:r>
      <w:r w:rsidRPr="008869B4">
        <w:rPr>
          <w:rFonts w:cs="Abz-2 (Badr)"/>
          <w:sz w:val="28"/>
          <w:szCs w:val="28"/>
          <w:rtl/>
        </w:rPr>
        <w:t>أبي الصبّاح‌ الكنانيّ</w:t>
      </w:r>
      <w:r>
        <w:rPr>
          <w:rFonts w:cs="Abz-2 (Badr)" w:hint="cs"/>
          <w:sz w:val="28"/>
          <w:szCs w:val="28"/>
          <w:rtl/>
        </w:rPr>
        <w:t>،</w:t>
      </w:r>
      <w:r w:rsidRPr="008869B4">
        <w:rPr>
          <w:rFonts w:cs="Abz-2 (Badr)"/>
          <w:sz w:val="28"/>
          <w:szCs w:val="28"/>
          <w:rtl/>
        </w:rPr>
        <w:t>‌ قال‌: «إذا تزوّج‌ الرجل‌ المرأة‌ وهو لا يقدر على النساء</w:t>
      </w:r>
      <w:r>
        <w:rPr>
          <w:rFonts w:cs="Abz-2 (Badr)" w:hint="cs"/>
          <w:sz w:val="28"/>
          <w:szCs w:val="28"/>
          <w:rtl/>
        </w:rPr>
        <w:t>،</w:t>
      </w:r>
      <w:r w:rsidRPr="008869B4">
        <w:rPr>
          <w:rFonts w:cs="Abz-2 (Badr)"/>
          <w:sz w:val="28"/>
          <w:szCs w:val="28"/>
          <w:rtl/>
        </w:rPr>
        <w:t>‌ أجّل‌ سنة‌ حتّى يعالج‌ نفسه</w:t>
      </w:r>
      <w:r>
        <w:rPr>
          <w:rFonts w:cs="Abz-2 (Badr)" w:hint="cs"/>
          <w:sz w:val="28"/>
          <w:szCs w:val="28"/>
          <w:rtl/>
        </w:rPr>
        <w:t>.</w:t>
      </w:r>
      <w:r w:rsidRPr="008869B4">
        <w:rPr>
          <w:rFonts w:cs="Abz-2 (Badr)"/>
          <w:sz w:val="28"/>
          <w:szCs w:val="28"/>
          <w:rtl/>
        </w:rPr>
        <w:t>‌</w:t>
      </w:r>
      <w:r>
        <w:rPr>
          <w:rFonts w:cs="Abz-2 (Badr)" w:hint="cs"/>
          <w:sz w:val="28"/>
          <w:szCs w:val="28"/>
          <w:rtl/>
        </w:rPr>
        <w:t>»</w:t>
      </w:r>
      <w:r w:rsidRPr="002D27AB">
        <w:rPr>
          <w:rStyle w:val="FootnoteReference"/>
          <w:rFonts w:cs="Abz-2 (Badr)"/>
          <w:sz w:val="28"/>
          <w:szCs w:val="28"/>
          <w:rtl/>
          <w:lang w:bidi="fa-IR"/>
        </w:rPr>
        <w:footnoteReference w:id="6"/>
      </w:r>
    </w:p>
    <w:p w14:paraId="06069BBE" w14:textId="77777777" w:rsidR="00BB28BF" w:rsidRPr="00EB5D9B" w:rsidRDefault="00BB28BF" w:rsidP="00BB28BF">
      <w:pPr>
        <w:widowControl w:val="0"/>
        <w:bidi/>
        <w:spacing w:after="0"/>
        <w:ind w:firstLine="284"/>
        <w:jc w:val="both"/>
        <w:rPr>
          <w:rFonts w:cs="Abz-2 (Badr)"/>
          <w:sz w:val="28"/>
          <w:szCs w:val="28"/>
        </w:rPr>
      </w:pPr>
      <w:r w:rsidRPr="00EB5D9B">
        <w:rPr>
          <w:rFonts w:cs="Abz-2 (Badr)" w:hint="cs"/>
          <w:sz w:val="28"/>
          <w:szCs w:val="28"/>
          <w:rtl/>
        </w:rPr>
        <w:t>اما آنچه که از اين اخبار به دست می</w:t>
      </w:r>
      <w:r w:rsidRPr="00EB5D9B">
        <w:rPr>
          <w:rFonts w:cs="Abz-2 (Badr)" w:hint="cs"/>
          <w:sz w:val="28"/>
          <w:szCs w:val="28"/>
          <w:cs/>
        </w:rPr>
        <w:t>‎</w:t>
      </w:r>
      <w:r w:rsidRPr="00EB5D9B">
        <w:rPr>
          <w:rFonts w:cs="Abz-2 (Badr)" w:hint="cs"/>
          <w:sz w:val="28"/>
          <w:szCs w:val="28"/>
          <w:rtl/>
        </w:rPr>
        <w:t>آيد، اموری است:</w:t>
      </w:r>
    </w:p>
    <w:p w14:paraId="46917EDF" w14:textId="77777777" w:rsidR="00BB28BF" w:rsidRPr="00EB5D9B" w:rsidRDefault="00BB28BF" w:rsidP="00BB28BF">
      <w:pPr>
        <w:widowControl w:val="0"/>
        <w:bidi/>
        <w:spacing w:after="0"/>
        <w:ind w:firstLine="284"/>
        <w:jc w:val="both"/>
        <w:rPr>
          <w:rFonts w:cs="Abz-2 (Badr)"/>
          <w:sz w:val="28"/>
          <w:szCs w:val="28"/>
        </w:rPr>
      </w:pPr>
      <w:r w:rsidRPr="00EB5D9B">
        <w:rPr>
          <w:rFonts w:cs="Abz-2 (Badr)"/>
          <w:sz w:val="28"/>
          <w:szCs w:val="28"/>
          <w:rtl/>
        </w:rPr>
        <w:lastRenderedPageBreak/>
        <w:t xml:space="preserve">1 ـ </w:t>
      </w:r>
      <w:r>
        <w:rPr>
          <w:rFonts w:cs="Abz-2 (Badr)" w:hint="cs"/>
          <w:sz w:val="28"/>
          <w:szCs w:val="28"/>
          <w:rtl/>
        </w:rPr>
        <w:t>مهلتی که به عنين داده می</w:t>
      </w:r>
      <w:r>
        <w:rPr>
          <w:rFonts w:cs="Abz-2 (Badr)"/>
          <w:sz w:val="28"/>
          <w:szCs w:val="28"/>
          <w:rtl/>
        </w:rPr>
        <w:softHyphen/>
      </w:r>
      <w:r>
        <w:rPr>
          <w:rFonts w:cs="Abz-2 (Badr)" w:hint="cs"/>
          <w:sz w:val="28"/>
          <w:szCs w:val="28"/>
          <w:rtl/>
        </w:rPr>
        <w:t>شود، پس از اثبات عنن اوست. بنابر اين عدم قدرت او بر وطی در طی يک سال مدخليتی در تحقق عنن ندارد، بلکه از باب تقييد حق فسخ زوجه به چنين قيدی است.</w:t>
      </w:r>
    </w:p>
    <w:p w14:paraId="56BD095A" w14:textId="77777777" w:rsidR="00BB28BF" w:rsidRDefault="00BB28BF" w:rsidP="00BB28BF">
      <w:pPr>
        <w:widowControl w:val="0"/>
        <w:bidi/>
        <w:spacing w:after="0"/>
        <w:ind w:firstLine="284"/>
        <w:jc w:val="both"/>
        <w:rPr>
          <w:rFonts w:cs="Abz-2 (Badr)"/>
          <w:sz w:val="28"/>
          <w:szCs w:val="28"/>
          <w:rtl/>
        </w:rPr>
      </w:pPr>
      <w:r w:rsidRPr="00B4207D">
        <w:rPr>
          <w:rFonts w:cs="Abz-2 (Badr)" w:hint="cs"/>
          <w:sz w:val="28"/>
          <w:szCs w:val="28"/>
          <w:rtl/>
        </w:rPr>
        <w:t xml:space="preserve">2 ـ </w:t>
      </w:r>
      <w:r>
        <w:rPr>
          <w:rFonts w:cs="Abz-2 (Badr)" w:hint="cs"/>
          <w:sz w:val="28"/>
          <w:szCs w:val="28"/>
          <w:rtl/>
        </w:rPr>
        <w:t>از صحيحه ابی</w:t>
      </w:r>
      <w:r>
        <w:rPr>
          <w:rFonts w:cs="Abz-2 (Badr)"/>
          <w:sz w:val="28"/>
          <w:szCs w:val="28"/>
          <w:rtl/>
        </w:rPr>
        <w:softHyphen/>
      </w:r>
      <w:r>
        <w:rPr>
          <w:rFonts w:cs="Abz-2 (Badr)" w:hint="cs"/>
          <w:sz w:val="28"/>
          <w:szCs w:val="28"/>
          <w:rtl/>
        </w:rPr>
        <w:t>بصير، صحيحه ابی</w:t>
      </w:r>
      <w:r>
        <w:rPr>
          <w:rFonts w:cs="Abz-2 (Badr)"/>
          <w:sz w:val="28"/>
          <w:szCs w:val="28"/>
          <w:rtl/>
        </w:rPr>
        <w:softHyphen/>
      </w:r>
      <w:r>
        <w:rPr>
          <w:rFonts w:cs="Abz-2 (Badr)" w:hint="cs"/>
          <w:sz w:val="28"/>
          <w:szCs w:val="28"/>
          <w:rtl/>
        </w:rPr>
        <w:t>حمزة، خبر ابی البختری و مرسله صدوق به دست می</w:t>
      </w:r>
      <w:r>
        <w:rPr>
          <w:rFonts w:cs="Abz-2 (Badr)"/>
          <w:sz w:val="28"/>
          <w:szCs w:val="28"/>
          <w:rtl/>
        </w:rPr>
        <w:softHyphen/>
      </w:r>
      <w:r>
        <w:rPr>
          <w:rFonts w:cs="Abz-2 (Badr)" w:hint="cs"/>
          <w:sz w:val="28"/>
          <w:szCs w:val="28"/>
          <w:rtl/>
        </w:rPr>
        <w:t>آيد که آنچه که مانع از فسخ می</w:t>
      </w:r>
      <w:r>
        <w:rPr>
          <w:rFonts w:cs="Abz-2 (Badr)"/>
          <w:sz w:val="28"/>
          <w:szCs w:val="28"/>
          <w:rtl/>
        </w:rPr>
        <w:softHyphen/>
      </w:r>
      <w:r>
        <w:rPr>
          <w:rFonts w:cs="Abz-2 (Badr)" w:hint="cs"/>
          <w:sz w:val="28"/>
          <w:szCs w:val="28"/>
          <w:rtl/>
        </w:rPr>
        <w:t>گردد، وطی زوجه است و با عدم آن، زوجه حق فسخ دارد و اطلاق آن شامل موردی که زوج در خلال اين مدت زن ديگری را وطی کرده باشد نيز می</w:t>
      </w:r>
      <w:r>
        <w:rPr>
          <w:rFonts w:cs="Abz-2 (Badr)"/>
          <w:sz w:val="28"/>
          <w:szCs w:val="28"/>
          <w:rtl/>
        </w:rPr>
        <w:softHyphen/>
      </w:r>
      <w:r>
        <w:rPr>
          <w:rFonts w:cs="Abz-2 (Badr)" w:hint="cs"/>
          <w:sz w:val="28"/>
          <w:szCs w:val="28"/>
          <w:rtl/>
        </w:rPr>
        <w:t>شود.</w:t>
      </w:r>
    </w:p>
    <w:p w14:paraId="2D1CA175" w14:textId="77777777" w:rsidR="00BB28BF" w:rsidRDefault="00BB28BF" w:rsidP="00BB28BF">
      <w:pPr>
        <w:widowControl w:val="0"/>
        <w:bidi/>
        <w:spacing w:after="0"/>
        <w:ind w:firstLine="284"/>
        <w:jc w:val="both"/>
        <w:rPr>
          <w:rFonts w:cs="Abz-2 (Badr)"/>
          <w:sz w:val="28"/>
          <w:szCs w:val="28"/>
          <w:rtl/>
        </w:rPr>
      </w:pPr>
      <w:r>
        <w:rPr>
          <w:rFonts w:cs="Abz-2 (Badr)" w:hint="cs"/>
          <w:sz w:val="28"/>
          <w:szCs w:val="28"/>
          <w:rtl/>
        </w:rPr>
        <w:t>البته در صحيحه محمد بن مسلم و صحيحه حسين بن علوان چنين قيدی نيامده است و فقط گفته شده است که به عنين يک سال مهلت داده می</w:t>
      </w:r>
      <w:r>
        <w:rPr>
          <w:rFonts w:cs="Abz-2 (Badr)"/>
          <w:sz w:val="28"/>
          <w:szCs w:val="28"/>
          <w:rtl/>
        </w:rPr>
        <w:softHyphen/>
      </w:r>
      <w:r>
        <w:rPr>
          <w:rFonts w:cs="Abz-2 (Badr)" w:hint="cs"/>
          <w:sz w:val="28"/>
          <w:szCs w:val="28"/>
          <w:rtl/>
        </w:rPr>
        <w:t>شود و وجه امهال ذکر نشده است، بنابر اين دو صحيحه مذکور از اين جهت مجمل هستند و اخبار سه</w:t>
      </w:r>
      <w:r>
        <w:rPr>
          <w:rFonts w:cs="Abz-2 (Badr)"/>
          <w:sz w:val="28"/>
          <w:szCs w:val="28"/>
          <w:rtl/>
        </w:rPr>
        <w:softHyphen/>
      </w:r>
      <w:r>
        <w:rPr>
          <w:rFonts w:cs="Abz-2 (Badr)" w:hint="cs"/>
          <w:sz w:val="28"/>
          <w:szCs w:val="28"/>
          <w:rtl/>
        </w:rPr>
        <w:t>گانه اول می</w:t>
      </w:r>
      <w:r>
        <w:rPr>
          <w:rFonts w:cs="Abz-2 (Badr)"/>
          <w:sz w:val="28"/>
          <w:szCs w:val="28"/>
          <w:rtl/>
        </w:rPr>
        <w:softHyphen/>
      </w:r>
      <w:r>
        <w:rPr>
          <w:rFonts w:cs="Abz-2 (Badr)" w:hint="cs"/>
          <w:sz w:val="28"/>
          <w:szCs w:val="28"/>
          <w:rtl/>
        </w:rPr>
        <w:t>توانند مبيّن آنها باشند.</w:t>
      </w:r>
    </w:p>
    <w:p w14:paraId="3E6ABE3A" w14:textId="77777777" w:rsidR="00BB28BF" w:rsidRDefault="00BB28BF" w:rsidP="00BB28BF">
      <w:pPr>
        <w:widowControl w:val="0"/>
        <w:bidi/>
        <w:spacing w:after="0"/>
        <w:ind w:firstLine="284"/>
        <w:jc w:val="both"/>
        <w:rPr>
          <w:rFonts w:cs="Abz-2 (Badr)"/>
          <w:sz w:val="28"/>
          <w:szCs w:val="28"/>
          <w:rtl/>
        </w:rPr>
      </w:pPr>
      <w:r>
        <w:rPr>
          <w:rFonts w:cs="Abz-2 (Badr)" w:hint="cs"/>
          <w:sz w:val="28"/>
          <w:szCs w:val="28"/>
          <w:rtl/>
        </w:rPr>
        <w:t>اما در خصوص روايت ابی الصبّاح می</w:t>
      </w:r>
      <w:r>
        <w:rPr>
          <w:rFonts w:cs="Abz-2 (Badr)"/>
          <w:sz w:val="28"/>
          <w:szCs w:val="28"/>
          <w:rtl/>
        </w:rPr>
        <w:softHyphen/>
      </w:r>
      <w:r>
        <w:rPr>
          <w:rFonts w:cs="Abz-2 (Badr)" w:hint="cs"/>
          <w:sz w:val="28"/>
          <w:szCs w:val="28"/>
          <w:rtl/>
        </w:rPr>
        <w:t>توان ادعا نمود که ظهور آن در امهال برای رفع علاح و رفع عنن است و چون در ابتدای آن از عنن با تعبير: «لا يقدر علی النساء» ياد شده است، مراد از علاج نيز در آن اين است که به نحوی گردد که قدرت بر نساء پيدا کند و اين مطلب با وطی غير زوجه نيز حاصل است. اما اشکال آن علاوه بر ضعف سندی اين است که از امام(ع) منقول نيست و به همين جهت اخباری که گذشت بر آن مقدم هستند.</w:t>
      </w:r>
    </w:p>
    <w:p w14:paraId="20107DCE" w14:textId="77777777" w:rsidR="00BB28BF" w:rsidRDefault="00BB28BF" w:rsidP="00BB28BF">
      <w:pPr>
        <w:widowControl w:val="0"/>
        <w:bidi/>
        <w:spacing w:after="0"/>
        <w:ind w:firstLine="284"/>
        <w:jc w:val="both"/>
        <w:rPr>
          <w:rFonts w:cs="Abz-2 (Badr)"/>
          <w:sz w:val="28"/>
          <w:szCs w:val="28"/>
          <w:rtl/>
        </w:rPr>
      </w:pPr>
      <w:r>
        <w:rPr>
          <w:rFonts w:cs="Abz-2 (Badr)" w:hint="cs"/>
          <w:sz w:val="28"/>
          <w:szCs w:val="28"/>
          <w:rtl/>
        </w:rPr>
        <w:t>علاوه بر اين که مقتضای اعتبار نيز اين است که پس از شکايت زوجه از وجود عنن در زوج، امهال زوج برای وطی زوجه باشد نه برای وطی هر زنی ولو غير زوجه.</w:t>
      </w:r>
    </w:p>
    <w:p w14:paraId="33B70D4C" w14:textId="77777777" w:rsidR="00BB28BF" w:rsidRPr="004168CA" w:rsidRDefault="00BB28BF" w:rsidP="00BB28BF">
      <w:pPr>
        <w:widowControl w:val="0"/>
        <w:bidi/>
        <w:spacing w:after="0"/>
        <w:ind w:firstLine="284"/>
        <w:jc w:val="both"/>
        <w:rPr>
          <w:rFonts w:cs="Abz-2 (Badr)"/>
          <w:sz w:val="28"/>
          <w:szCs w:val="28"/>
        </w:rPr>
      </w:pPr>
      <w:r w:rsidRPr="004168CA">
        <w:rPr>
          <w:rFonts w:cs="Abz-2 (Badr)" w:hint="cs"/>
          <w:sz w:val="28"/>
          <w:szCs w:val="28"/>
          <w:rtl/>
          <w:lang w:bidi="fa-IR"/>
        </w:rPr>
        <w:t>اما اين که برخی گفته</w:t>
      </w:r>
      <w:r w:rsidRPr="004168CA">
        <w:rPr>
          <w:rFonts w:cs="Abz-2 (Badr)" w:hint="cs"/>
          <w:sz w:val="28"/>
          <w:szCs w:val="28"/>
          <w:cs/>
          <w:lang w:bidi="fa-IR"/>
        </w:rPr>
        <w:t>‎</w:t>
      </w:r>
      <w:r w:rsidRPr="004168CA">
        <w:rPr>
          <w:rFonts w:cs="Abz-2 (Badr)" w:hint="cs"/>
          <w:sz w:val="28"/>
          <w:szCs w:val="28"/>
          <w:rtl/>
          <w:lang w:bidi="fa-IR"/>
        </w:rPr>
        <w:t>اند که دليل کفايت وطی زن ديگر برای عدم حق زوجه برای فسخ نکاح، ادله</w:t>
      </w:r>
      <w:r w:rsidRPr="004168CA">
        <w:rPr>
          <w:rFonts w:cs="Abz-2 (Badr)" w:hint="cs"/>
          <w:sz w:val="28"/>
          <w:szCs w:val="28"/>
          <w:cs/>
          <w:lang w:bidi="fa-IR"/>
        </w:rPr>
        <w:t>‎</w:t>
      </w:r>
      <w:r w:rsidRPr="004168CA">
        <w:rPr>
          <w:rFonts w:cs="Abz-2 (Badr)" w:hint="cs"/>
          <w:sz w:val="28"/>
          <w:szCs w:val="28"/>
          <w:rtl/>
          <w:lang w:bidi="fa-IR"/>
        </w:rPr>
        <w:t>ای است که سابقاً گذشت مبنی بر اين که ثبوت</w:t>
      </w:r>
      <w:r>
        <w:rPr>
          <w:rFonts w:cs="Abz-2 (Badr)" w:hint="cs"/>
          <w:sz w:val="28"/>
          <w:szCs w:val="28"/>
          <w:rtl/>
          <w:lang w:bidi="fa-IR"/>
        </w:rPr>
        <w:t xml:space="preserve"> </w:t>
      </w:r>
      <w:r w:rsidRPr="004168CA">
        <w:rPr>
          <w:rFonts w:cs="Abz-2 (Badr)" w:hint="cs"/>
          <w:sz w:val="28"/>
          <w:szCs w:val="28"/>
          <w:rtl/>
          <w:lang w:bidi="fa-IR"/>
        </w:rPr>
        <w:t>عنن مبتنی بر ثبوت اين مطلب است که زوج، عاجز از مطلق وطی باشد و در صورتی که زوج زنی را در طی يک سال وطی کند، عنن او ثابت نخواهد بود، قابل مناقشه است، زيرا ادله مذکور در مقام اثبات عنن وارد شده</w:t>
      </w:r>
      <w:r w:rsidRPr="004168CA">
        <w:rPr>
          <w:rFonts w:cs="Abz-2 (Badr)" w:hint="cs"/>
          <w:sz w:val="28"/>
          <w:szCs w:val="28"/>
          <w:cs/>
          <w:lang w:bidi="fa-IR"/>
        </w:rPr>
        <w:t>‎</w:t>
      </w:r>
      <w:r w:rsidRPr="004168CA">
        <w:rPr>
          <w:rFonts w:cs="Abz-2 (Badr)" w:hint="cs"/>
          <w:sz w:val="28"/>
          <w:szCs w:val="28"/>
          <w:rtl/>
          <w:lang w:bidi="fa-IR"/>
        </w:rPr>
        <w:t>اند و ما نيز سابقاً به مدلول آنها ملتزم شديم، در حالی که در ما نحن فيه، مسأله در خصوص اين است که پس از ثبوت عنن، آيا مطلق وطی برای عدم حق زوجه برای فسخ کفايت می</w:t>
      </w:r>
      <w:r w:rsidRPr="004168CA">
        <w:rPr>
          <w:rFonts w:cs="Abz-2 (Badr)" w:hint="cs"/>
          <w:sz w:val="28"/>
          <w:szCs w:val="28"/>
          <w:cs/>
          <w:lang w:bidi="fa-IR"/>
        </w:rPr>
        <w:t>‎</w:t>
      </w:r>
      <w:r w:rsidRPr="004168CA">
        <w:rPr>
          <w:rFonts w:cs="Abz-2 (Badr)" w:hint="cs"/>
          <w:sz w:val="28"/>
          <w:szCs w:val="28"/>
          <w:rtl/>
          <w:lang w:bidi="fa-IR"/>
        </w:rPr>
        <w:t>کند يا خير و همچنان که گفته شد، مقتضای ادله اعتبار وطی زوجه است.</w:t>
      </w:r>
    </w:p>
    <w:p w14:paraId="1085DEB3" w14:textId="77777777" w:rsidR="00BB28BF" w:rsidRPr="004168CA" w:rsidRDefault="00BB28BF" w:rsidP="00BB28BF">
      <w:pPr>
        <w:widowControl w:val="0"/>
        <w:bidi/>
        <w:spacing w:after="0"/>
        <w:ind w:firstLine="284"/>
        <w:jc w:val="both"/>
        <w:rPr>
          <w:rFonts w:cs="Abz-2 (Badr)"/>
          <w:sz w:val="28"/>
          <w:szCs w:val="28"/>
        </w:rPr>
      </w:pPr>
      <w:r w:rsidRPr="004168CA">
        <w:rPr>
          <w:rFonts w:cs="Abz-2 (Badr)" w:hint="cs"/>
          <w:sz w:val="28"/>
          <w:szCs w:val="28"/>
          <w:rtl/>
          <w:lang w:bidi="fa-IR"/>
        </w:rPr>
        <w:t>به عبارت ديگر بين آنچه که در اثبات عنن مدخليت دارد با آنچه که در سقوط حق زوجه برای فسخ نکاح معتبر است، تفاوت وجود دارد.</w:t>
      </w:r>
    </w:p>
    <w:p w14:paraId="7ABD3471" w14:textId="77777777" w:rsidR="00BB28BF" w:rsidRPr="004168CA" w:rsidRDefault="00BB28BF" w:rsidP="00BB28BF">
      <w:pPr>
        <w:widowControl w:val="0"/>
        <w:bidi/>
        <w:spacing w:after="0"/>
        <w:ind w:firstLine="284"/>
        <w:jc w:val="both"/>
        <w:rPr>
          <w:rFonts w:cs="Abz-2 (Badr)"/>
          <w:sz w:val="28"/>
          <w:szCs w:val="28"/>
        </w:rPr>
      </w:pPr>
      <w:r>
        <w:rPr>
          <w:rFonts w:cs="Abz-2 (Badr)" w:hint="cs"/>
          <w:sz w:val="28"/>
          <w:szCs w:val="28"/>
          <w:rtl/>
          <w:lang w:bidi="fa-IR"/>
        </w:rPr>
        <w:t>3 ـ</w:t>
      </w:r>
      <w:r w:rsidRPr="004168CA">
        <w:rPr>
          <w:rFonts w:cs="Abz-2 (Badr)" w:hint="cs"/>
          <w:sz w:val="28"/>
          <w:szCs w:val="28"/>
          <w:rtl/>
          <w:lang w:bidi="fa-IR"/>
        </w:rPr>
        <w:t xml:space="preserve"> اطلاق ادله، شامل وطی در دبر نيز می</w:t>
      </w:r>
      <w:r w:rsidRPr="004168CA">
        <w:rPr>
          <w:rFonts w:cs="Abz-2 (Badr)" w:hint="cs"/>
          <w:sz w:val="28"/>
          <w:szCs w:val="28"/>
          <w:cs/>
          <w:lang w:bidi="fa-IR"/>
        </w:rPr>
        <w:t>‎</w:t>
      </w:r>
      <w:r w:rsidRPr="004168CA">
        <w:rPr>
          <w:rFonts w:cs="Abz-2 (Badr)" w:hint="cs"/>
          <w:sz w:val="28"/>
          <w:szCs w:val="28"/>
          <w:rtl/>
          <w:lang w:bidi="fa-IR"/>
        </w:rPr>
        <w:t>شود و وجهی برای اختصاص آنها به وطی در قبل نيست.</w:t>
      </w:r>
    </w:p>
    <w:p w14:paraId="4791D4D4" w14:textId="77777777" w:rsidR="00BB28BF" w:rsidRPr="004168CA" w:rsidRDefault="00BB28BF" w:rsidP="00BB28BF">
      <w:pPr>
        <w:widowControl w:val="0"/>
        <w:bidi/>
        <w:spacing w:after="0"/>
        <w:ind w:firstLine="284"/>
        <w:jc w:val="both"/>
        <w:rPr>
          <w:rFonts w:cs="Abz-2 (Badr)"/>
          <w:sz w:val="28"/>
          <w:szCs w:val="28"/>
        </w:rPr>
      </w:pPr>
      <w:r>
        <w:rPr>
          <w:rFonts w:cs="Abz-2 (Badr)" w:hint="cs"/>
          <w:sz w:val="28"/>
          <w:szCs w:val="28"/>
          <w:rtl/>
          <w:lang w:bidi="fa-IR"/>
        </w:rPr>
        <w:t xml:space="preserve">4 ـ </w:t>
      </w:r>
      <w:r w:rsidRPr="004168CA">
        <w:rPr>
          <w:rFonts w:cs="Abz-2 (Badr)" w:hint="cs"/>
          <w:sz w:val="28"/>
          <w:szCs w:val="28"/>
          <w:rtl/>
          <w:lang w:bidi="fa-IR"/>
        </w:rPr>
        <w:t>آنچه که از ظاهر اخبار به دست می</w:t>
      </w:r>
      <w:r w:rsidRPr="004168CA">
        <w:rPr>
          <w:rFonts w:cs="Abz-2 (Badr)" w:hint="cs"/>
          <w:sz w:val="28"/>
          <w:szCs w:val="28"/>
          <w:cs/>
          <w:lang w:bidi="fa-IR"/>
        </w:rPr>
        <w:t>‎</w:t>
      </w:r>
      <w:r w:rsidRPr="004168CA">
        <w:rPr>
          <w:rFonts w:cs="Abz-2 (Badr)" w:hint="cs"/>
          <w:sz w:val="28"/>
          <w:szCs w:val="28"/>
          <w:rtl/>
          <w:lang w:bidi="fa-IR"/>
        </w:rPr>
        <w:t>آيد، اين است که امهال يک ساله طريقيت برای تحقق وطی دارد و موضوعيتی برای آن نيست. بنابر اين چنانچه از ابتدا به واسطه قول اطباء و قرائن ديگر معلوم باشد که زوج امکان وطی در طی يک سال را نخواهد داشت، ظاهراً وجهی برای صبر کردن زوجه وجود ندارد و می</w:t>
      </w:r>
      <w:r w:rsidRPr="004168CA">
        <w:rPr>
          <w:rFonts w:cs="Abz-2 (Badr)" w:hint="cs"/>
          <w:sz w:val="28"/>
          <w:szCs w:val="28"/>
          <w:cs/>
          <w:lang w:bidi="fa-IR"/>
        </w:rPr>
        <w:t>‎</w:t>
      </w:r>
      <w:r w:rsidRPr="004168CA">
        <w:rPr>
          <w:rFonts w:cs="Abz-2 (Badr)" w:hint="cs"/>
          <w:sz w:val="28"/>
          <w:szCs w:val="28"/>
          <w:rtl/>
          <w:lang w:bidi="fa-IR"/>
        </w:rPr>
        <w:t xml:space="preserve">تواند فی الحال اقدام </w:t>
      </w:r>
      <w:r w:rsidRPr="004168CA">
        <w:rPr>
          <w:rFonts w:cs="Abz-2 (Badr)" w:hint="cs"/>
          <w:sz w:val="28"/>
          <w:szCs w:val="28"/>
          <w:rtl/>
          <w:lang w:bidi="fa-IR"/>
        </w:rPr>
        <w:lastRenderedPageBreak/>
        <w:t>به فسخ نکاح کند، اگرچه احتياط در اين است که تا پايان يک سال صبر کند.</w:t>
      </w:r>
    </w:p>
    <w:p w14:paraId="409E9392" w14:textId="77777777" w:rsidR="00BB28BF" w:rsidRPr="004168CA" w:rsidRDefault="00BB28BF" w:rsidP="00BB28BF">
      <w:pPr>
        <w:widowControl w:val="0"/>
        <w:bidi/>
        <w:spacing w:after="0"/>
        <w:ind w:firstLine="284"/>
        <w:jc w:val="both"/>
        <w:rPr>
          <w:rFonts w:cs="Abz-2 (Badr)"/>
          <w:sz w:val="28"/>
          <w:szCs w:val="28"/>
          <w:lang w:bidi="fa-IR"/>
        </w:rPr>
      </w:pPr>
      <w:r>
        <w:rPr>
          <w:rFonts w:cs="Abz-2 (Badr)" w:hint="cs"/>
          <w:sz w:val="28"/>
          <w:szCs w:val="28"/>
          <w:rtl/>
        </w:rPr>
        <w:t xml:space="preserve">5 ـ </w:t>
      </w:r>
      <w:r w:rsidRPr="004168CA">
        <w:rPr>
          <w:rFonts w:cs="Abz-2 (Badr)" w:hint="cs"/>
          <w:sz w:val="28"/>
          <w:szCs w:val="28"/>
          <w:rtl/>
          <w:lang w:bidi="fa-IR"/>
        </w:rPr>
        <w:t>بر اساس صحيحه حسين بن علوان، ابتدای زمان امهال از زمانی است که</w:t>
      </w:r>
      <w:r>
        <w:rPr>
          <w:rFonts w:cs="Abz-2 (Badr)" w:hint="cs"/>
          <w:sz w:val="28"/>
          <w:szCs w:val="28"/>
          <w:rtl/>
          <w:lang w:bidi="fa-IR"/>
        </w:rPr>
        <w:t xml:space="preserve"> </w:t>
      </w:r>
      <w:r w:rsidRPr="004168CA">
        <w:rPr>
          <w:rFonts w:cs="Abz-2 (Badr)" w:hint="cs"/>
          <w:sz w:val="28"/>
          <w:szCs w:val="28"/>
          <w:rtl/>
          <w:lang w:bidi="fa-IR"/>
        </w:rPr>
        <w:t>زوجه اقدام به مرافعه نمايد. بنابر اين اگر از زمان اقدام زوجه تا زمان اثبات عنن، مدتی طول بکشد، آن مدت نيز داخل در زمان يک سال می</w:t>
      </w:r>
      <w:r w:rsidRPr="004168CA">
        <w:rPr>
          <w:rFonts w:cs="Abz-2 (Badr)" w:hint="cs"/>
          <w:sz w:val="28"/>
          <w:szCs w:val="28"/>
          <w:cs/>
          <w:lang w:bidi="fa-IR"/>
        </w:rPr>
        <w:t>‎</w:t>
      </w:r>
      <w:r w:rsidRPr="004168CA">
        <w:rPr>
          <w:rFonts w:cs="Abz-2 (Badr)" w:hint="cs"/>
          <w:sz w:val="28"/>
          <w:szCs w:val="28"/>
          <w:rtl/>
          <w:lang w:bidi="fa-IR"/>
        </w:rPr>
        <w:t>باشد.</w:t>
      </w:r>
    </w:p>
    <w:p w14:paraId="1E90179E" w14:textId="77777777" w:rsidR="00BB28BF" w:rsidRPr="004168CA" w:rsidRDefault="00BB28BF" w:rsidP="00BB28BF">
      <w:pPr>
        <w:widowControl w:val="0"/>
        <w:bidi/>
        <w:spacing w:after="0"/>
        <w:ind w:firstLine="284"/>
        <w:jc w:val="both"/>
        <w:rPr>
          <w:rFonts w:cs="Abz-2 (Badr)"/>
          <w:sz w:val="28"/>
          <w:szCs w:val="28"/>
        </w:rPr>
      </w:pPr>
      <w:r w:rsidRPr="004168CA">
        <w:rPr>
          <w:rFonts w:cs="Abz-2 (Badr)"/>
          <w:sz w:val="28"/>
          <w:szCs w:val="28"/>
          <w:rtl/>
          <w:lang w:bidi="fa-IR"/>
        </w:rPr>
        <w:t>6 ـ مقتضای صحيحه ابی حمزه اين است که زوجه پس از فسخ نکاح، مستحق نصف مهر است.</w:t>
      </w:r>
    </w:p>
    <w:p w14:paraId="18E6B821" w14:textId="77777777" w:rsidR="00BB28BF" w:rsidRDefault="00BB28BF" w:rsidP="00BB28BF">
      <w:pPr>
        <w:widowControl w:val="0"/>
        <w:bidi/>
        <w:spacing w:after="0"/>
        <w:ind w:firstLine="284"/>
        <w:jc w:val="both"/>
        <w:rPr>
          <w:rFonts w:cs="Abz-2 (Badr)"/>
          <w:sz w:val="28"/>
          <w:szCs w:val="28"/>
          <w:rtl/>
        </w:rPr>
      </w:pPr>
      <w:r>
        <w:rPr>
          <w:rFonts w:cs="Abz-2 (Badr)" w:hint="cs"/>
          <w:sz w:val="28"/>
          <w:szCs w:val="28"/>
          <w:rtl/>
        </w:rPr>
        <w:t>و بنابر آنچه که گذشت، اشکال مدعای ابن جنيد آشکار می</w:t>
      </w:r>
      <w:r>
        <w:rPr>
          <w:rFonts w:cs="Abz-2 (Badr)"/>
          <w:sz w:val="28"/>
          <w:szCs w:val="28"/>
          <w:rtl/>
        </w:rPr>
        <w:softHyphen/>
      </w:r>
      <w:r>
        <w:rPr>
          <w:rFonts w:cs="Abz-2 (Badr)" w:hint="cs"/>
          <w:sz w:val="28"/>
          <w:szCs w:val="28"/>
          <w:rtl/>
        </w:rPr>
        <w:t>شود.</w:t>
      </w:r>
    </w:p>
    <w:p w14:paraId="66329883" w14:textId="77777777" w:rsidR="00BB28BF" w:rsidRPr="00E47B79" w:rsidRDefault="00BB28BF" w:rsidP="00BB28BF">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rPr>
        <w:t xml:space="preserve">قال العلامة في المختلف: «قال ابن الجنيد: </w:t>
      </w:r>
      <w:r w:rsidRPr="00E47B79">
        <w:rPr>
          <w:rFonts w:cs="Abz-2 (Badr)"/>
          <w:sz w:val="28"/>
          <w:szCs w:val="28"/>
          <w:rtl/>
          <w:lang w:bidi="fa-IR"/>
        </w:rPr>
        <w:t>العنن بالرجل قبل الدخول يوجب الفسخ إن اختارت المرأة</w:t>
      </w:r>
      <w:r>
        <w:rPr>
          <w:rFonts w:cs="Abz-2 (Badr)" w:hint="cs"/>
          <w:sz w:val="28"/>
          <w:szCs w:val="28"/>
          <w:rtl/>
          <w:lang w:bidi="fa-IR"/>
        </w:rPr>
        <w:t>،</w:t>
      </w:r>
      <w:r w:rsidRPr="00E47B79">
        <w:rPr>
          <w:rFonts w:cs="Abz-2 (Badr)"/>
          <w:sz w:val="28"/>
          <w:szCs w:val="28"/>
          <w:rtl/>
          <w:lang w:bidi="fa-IR"/>
        </w:rPr>
        <w:t xml:space="preserve"> فإن ادّعى حدوث ذلك به بعد العقد، أ</w:t>
      </w:r>
      <w:r>
        <w:rPr>
          <w:rFonts w:cs="Abz-2 (Badr)" w:hint="cs"/>
          <w:sz w:val="28"/>
          <w:szCs w:val="28"/>
          <w:rtl/>
          <w:lang w:bidi="fa-IR"/>
        </w:rPr>
        <w:t>ُ</w:t>
      </w:r>
      <w:r w:rsidRPr="00E47B79">
        <w:rPr>
          <w:rFonts w:cs="Abz-2 (Badr)"/>
          <w:sz w:val="28"/>
          <w:szCs w:val="28"/>
          <w:rtl/>
          <w:lang w:bidi="fa-IR"/>
        </w:rPr>
        <w:t>جّل سنة من يوم ترافعهما، فإن صحّ‌ وطؤه فيها وإلا كانت مخيّرة في الإقامة معه، وإلا تفسخ النكاح بغير طلاق.</w:t>
      </w:r>
      <w:r>
        <w:rPr>
          <w:rFonts w:cs="Abz-2 (Badr)" w:hint="cs"/>
          <w:sz w:val="28"/>
          <w:szCs w:val="28"/>
          <w:rtl/>
          <w:lang w:bidi="fa-IR"/>
        </w:rPr>
        <w:t>»</w:t>
      </w:r>
      <w:r w:rsidRPr="002D27AB">
        <w:rPr>
          <w:rStyle w:val="FootnoteReference"/>
          <w:rFonts w:cs="Abz-2 (Badr)"/>
          <w:sz w:val="28"/>
          <w:szCs w:val="28"/>
          <w:rtl/>
          <w:lang w:bidi="fa-IR"/>
        </w:rPr>
        <w:footnoteReference w:id="7"/>
      </w:r>
    </w:p>
    <w:p w14:paraId="3E11C137" w14:textId="77777777" w:rsidR="00BB28BF" w:rsidRDefault="00BB28BF" w:rsidP="00BB28BF">
      <w:pPr>
        <w:widowControl w:val="0"/>
        <w:bidi/>
        <w:spacing w:after="0"/>
        <w:ind w:firstLine="284"/>
        <w:jc w:val="both"/>
        <w:rPr>
          <w:rFonts w:cs="Abz-2 (Badr)"/>
          <w:sz w:val="28"/>
          <w:szCs w:val="28"/>
          <w:rtl/>
          <w:lang w:bidi="fa-IR"/>
        </w:rPr>
      </w:pPr>
      <w:r>
        <w:rPr>
          <w:rFonts w:cs="Abz-2 (Badr)" w:hint="cs"/>
          <w:sz w:val="28"/>
          <w:szCs w:val="28"/>
          <w:rtl/>
          <w:lang w:bidi="fa-IR"/>
        </w:rPr>
        <w:t>وجه اين مدعا نيز دلالت اخباری است که سابقاً گذشت مبنی بر جواز فسخ زوجه بدون اين که ذکری از تأجيل در آنها آمده باشد.</w:t>
      </w:r>
    </w:p>
    <w:p w14:paraId="4A2E3CD6" w14:textId="77777777" w:rsidR="00BB28BF" w:rsidRDefault="00BB28BF" w:rsidP="00BB28BF">
      <w:pPr>
        <w:widowControl w:val="0"/>
        <w:bidi/>
        <w:spacing w:after="0"/>
        <w:ind w:firstLine="284"/>
        <w:jc w:val="both"/>
        <w:rPr>
          <w:rFonts w:cs="Abz-2 (Badr)"/>
          <w:sz w:val="28"/>
          <w:szCs w:val="28"/>
          <w:rtl/>
          <w:lang w:bidi="fa-IR"/>
        </w:rPr>
      </w:pPr>
      <w:r>
        <w:rPr>
          <w:rFonts w:cs="Abz-2 (Badr)" w:hint="cs"/>
          <w:sz w:val="28"/>
          <w:szCs w:val="28"/>
          <w:rtl/>
          <w:lang w:bidi="fa-IR"/>
        </w:rPr>
        <w:t>اما پاسخ آن اين است که وجهی برای حمل اين اخبار بر وجود عنن در حين نکاح و حمل اخبار مشتمل بر تأجيل بر عنن عارض بعد از نکاح نيست، بلکه مقتضای قاعده حمل مطلق بر مقيّد، رفع يد از اطلاق اين اخبار و حمل آنها بر موردی است يک سال به زوج مهلت داده شود.</w:t>
      </w:r>
    </w:p>
    <w:p w14:paraId="6AE0C01F" w14:textId="77777777" w:rsidR="00BB28BF" w:rsidRDefault="00BB28BF" w:rsidP="00BB28BF">
      <w:pPr>
        <w:widowControl w:val="0"/>
        <w:bidi/>
        <w:spacing w:after="0"/>
        <w:ind w:firstLine="284"/>
        <w:jc w:val="both"/>
        <w:rPr>
          <w:rFonts w:cs="Abz-2 (Badr)"/>
          <w:sz w:val="28"/>
          <w:szCs w:val="28"/>
          <w:rtl/>
          <w:lang w:bidi="fa-IR"/>
        </w:rPr>
      </w:pPr>
      <w:r>
        <w:rPr>
          <w:rFonts w:cs="Abz-2 (Badr)" w:hint="cs"/>
          <w:sz w:val="28"/>
          <w:szCs w:val="28"/>
          <w:rtl/>
          <w:lang w:bidi="fa-IR"/>
        </w:rPr>
        <w:t>اما آنچه که علامه در پاسخ به مدعای ابن جنين گفته است مبنی بر اين که تأجيل در ثبوت عنن مدخليت دارد</w:t>
      </w:r>
      <w:r w:rsidRPr="002D27AB">
        <w:rPr>
          <w:rStyle w:val="FootnoteReference"/>
          <w:rFonts w:cs="Abz-2 (Badr)"/>
          <w:sz w:val="28"/>
          <w:szCs w:val="28"/>
          <w:rtl/>
          <w:lang w:bidi="fa-IR"/>
        </w:rPr>
        <w:footnoteReference w:id="8"/>
      </w:r>
      <w:r>
        <w:rPr>
          <w:rFonts w:cs="Abz-2 (Badr)" w:hint="cs"/>
          <w:sz w:val="28"/>
          <w:szCs w:val="28"/>
          <w:rtl/>
          <w:lang w:bidi="fa-IR"/>
        </w:rPr>
        <w:t>، ضعف آن از آنچه که گذشت آشکار می</w:t>
      </w:r>
      <w:r>
        <w:rPr>
          <w:rFonts w:cs="Abz-2 (Badr)"/>
          <w:sz w:val="28"/>
          <w:szCs w:val="28"/>
          <w:rtl/>
          <w:lang w:bidi="fa-IR"/>
        </w:rPr>
        <w:softHyphen/>
      </w:r>
      <w:r>
        <w:rPr>
          <w:rFonts w:cs="Abz-2 (Badr)" w:hint="cs"/>
          <w:sz w:val="28"/>
          <w:szCs w:val="28"/>
          <w:rtl/>
          <w:lang w:bidi="fa-IR"/>
        </w:rPr>
        <w:t>گردد.</w:t>
      </w:r>
    </w:p>
    <w:p w14:paraId="4B37520F" w14:textId="77777777" w:rsidR="00BB28BF" w:rsidRDefault="00BB28BF" w:rsidP="00BB28BF">
      <w:pPr>
        <w:widowControl w:val="0"/>
        <w:bidi/>
        <w:spacing w:after="0"/>
        <w:ind w:firstLine="284"/>
        <w:jc w:val="both"/>
        <w:rPr>
          <w:rFonts w:cs="Abz-2 (Badr)"/>
          <w:sz w:val="28"/>
          <w:szCs w:val="28"/>
          <w:rtl/>
          <w:lang w:bidi="fa-IR"/>
        </w:rPr>
      </w:pPr>
      <w:r>
        <w:rPr>
          <w:rFonts w:cs="Abz-2 (Badr)" w:hint="cs"/>
          <w:sz w:val="28"/>
          <w:szCs w:val="28"/>
          <w:rtl/>
          <w:lang w:bidi="fa-IR"/>
        </w:rPr>
        <w:t>همچنين اشکال مدعای ديگر ابن جنيد نيز معلوم می</w:t>
      </w:r>
      <w:r>
        <w:rPr>
          <w:rFonts w:cs="Abz-2 (Badr)"/>
          <w:sz w:val="28"/>
          <w:szCs w:val="28"/>
          <w:rtl/>
          <w:lang w:bidi="fa-IR"/>
        </w:rPr>
        <w:softHyphen/>
      </w:r>
      <w:r>
        <w:rPr>
          <w:rFonts w:cs="Abz-2 (Badr)" w:hint="cs"/>
          <w:sz w:val="28"/>
          <w:szCs w:val="28"/>
          <w:rtl/>
          <w:lang w:bidi="fa-IR"/>
        </w:rPr>
        <w:t>گردد.</w:t>
      </w:r>
    </w:p>
    <w:p w14:paraId="2453D966" w14:textId="77777777" w:rsidR="00BB28BF" w:rsidRPr="00BD3D64" w:rsidRDefault="00BB28BF" w:rsidP="00BB28BF">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قال العلامة في المختلف: «</w:t>
      </w:r>
      <w:r w:rsidRPr="00BD3D64">
        <w:rPr>
          <w:rFonts w:cs="Abz-2 (Badr)"/>
          <w:sz w:val="28"/>
          <w:szCs w:val="28"/>
          <w:rtl/>
          <w:lang w:bidi="fa-IR"/>
        </w:rPr>
        <w:t xml:space="preserve">قال ابن الجنيد: </w:t>
      </w:r>
      <w:r>
        <w:rPr>
          <w:rFonts w:cs="Abz-2 (Badr)" w:hint="cs"/>
          <w:sz w:val="28"/>
          <w:szCs w:val="28"/>
          <w:rtl/>
          <w:lang w:bidi="fa-IR"/>
        </w:rPr>
        <w:t>«</w:t>
      </w:r>
      <w:r w:rsidRPr="00BD3D64">
        <w:rPr>
          <w:rFonts w:cs="Abz-2 (Badr)"/>
          <w:sz w:val="28"/>
          <w:szCs w:val="28"/>
          <w:rtl/>
          <w:lang w:bidi="fa-IR"/>
        </w:rPr>
        <w:t>إذا اختارت الفرقة بعد تمكينها إيّاه من نفسها، وجب لها المهر وإن لم يولج</w:t>
      </w:r>
      <w:r>
        <w:rPr>
          <w:rFonts w:cs="Abz-2 (Badr)" w:hint="cs"/>
          <w:sz w:val="28"/>
          <w:szCs w:val="28"/>
          <w:rtl/>
          <w:lang w:bidi="fa-IR"/>
        </w:rPr>
        <w:t>»</w:t>
      </w:r>
      <w:r w:rsidRPr="00BD3D64">
        <w:rPr>
          <w:rFonts w:cs="Abz-2 (Badr)"/>
          <w:sz w:val="28"/>
          <w:szCs w:val="28"/>
          <w:rtl/>
          <w:lang w:bidi="fa-IR"/>
        </w:rPr>
        <w:t>، وهو بناء</w:t>
      </w:r>
      <w:r>
        <w:rPr>
          <w:rFonts w:cs="Abz-2 (Badr)" w:hint="cs"/>
          <w:sz w:val="28"/>
          <w:szCs w:val="28"/>
          <w:rtl/>
          <w:lang w:bidi="fa-IR"/>
        </w:rPr>
        <w:t>ً</w:t>
      </w:r>
      <w:r w:rsidRPr="00BD3D64">
        <w:rPr>
          <w:rFonts w:cs="Abz-2 (Badr)"/>
          <w:sz w:val="28"/>
          <w:szCs w:val="28"/>
          <w:rtl/>
          <w:lang w:bidi="fa-IR"/>
        </w:rPr>
        <w:t xml:space="preserve"> على أصله من أنّ‌ المهر يجب كملا</w:t>
      </w:r>
      <w:r>
        <w:rPr>
          <w:rFonts w:cs="Abz-2 (Badr)" w:hint="cs"/>
          <w:sz w:val="28"/>
          <w:szCs w:val="28"/>
          <w:rtl/>
          <w:lang w:bidi="fa-IR"/>
        </w:rPr>
        <w:t>ً</w:t>
      </w:r>
      <w:r w:rsidRPr="00BD3D64">
        <w:rPr>
          <w:rFonts w:cs="Abz-2 (Badr)"/>
          <w:sz w:val="28"/>
          <w:szCs w:val="28"/>
          <w:rtl/>
          <w:lang w:bidi="fa-IR"/>
        </w:rPr>
        <w:t xml:space="preserve"> بالخلوة كما يجب بالدخول</w:t>
      </w:r>
      <w:r>
        <w:rPr>
          <w:rFonts w:cs="Abz-2 (Badr)" w:hint="cs"/>
          <w:sz w:val="28"/>
          <w:szCs w:val="28"/>
          <w:rtl/>
          <w:lang w:bidi="fa-IR"/>
        </w:rPr>
        <w:t>.»</w:t>
      </w:r>
      <w:r w:rsidRPr="002D27AB">
        <w:rPr>
          <w:rStyle w:val="FootnoteReference"/>
          <w:rFonts w:cs="Abz-2 (Badr)"/>
          <w:sz w:val="28"/>
          <w:szCs w:val="28"/>
          <w:rtl/>
          <w:lang w:bidi="fa-IR"/>
        </w:rPr>
        <w:footnoteReference w:id="9"/>
      </w:r>
    </w:p>
    <w:p w14:paraId="3FC7F0A0" w14:textId="77777777" w:rsidR="00BB28BF" w:rsidRPr="004168CA" w:rsidRDefault="00BB28BF" w:rsidP="00BB28BF">
      <w:pPr>
        <w:widowControl w:val="0"/>
        <w:bidi/>
        <w:spacing w:after="0"/>
        <w:ind w:firstLine="284"/>
        <w:jc w:val="both"/>
        <w:rPr>
          <w:rFonts w:cs="Abz-2 (Badr)"/>
          <w:sz w:val="28"/>
          <w:szCs w:val="28"/>
          <w:lang w:bidi="fa-IR"/>
        </w:rPr>
      </w:pPr>
      <w:r>
        <w:rPr>
          <w:rFonts w:cs="Abz-2 (Badr)" w:hint="cs"/>
          <w:sz w:val="28"/>
          <w:szCs w:val="28"/>
          <w:rtl/>
          <w:lang w:bidi="fa-IR"/>
        </w:rPr>
        <w:t>اما حتی بنابر مبنای مذکور نيز می</w:t>
      </w:r>
      <w:r>
        <w:rPr>
          <w:rFonts w:cs="Abz-2 (Badr)"/>
          <w:sz w:val="28"/>
          <w:szCs w:val="28"/>
          <w:rtl/>
          <w:lang w:bidi="fa-IR"/>
        </w:rPr>
        <w:softHyphen/>
      </w:r>
      <w:r>
        <w:rPr>
          <w:rFonts w:cs="Abz-2 (Badr)" w:hint="cs"/>
          <w:sz w:val="28"/>
          <w:szCs w:val="28"/>
          <w:rtl/>
          <w:lang w:bidi="fa-IR"/>
        </w:rPr>
        <w:t>توان با وجود روايت صحيحه در اين مقام حکم به اثبات تمام مهر نمود.</w:t>
      </w:r>
    </w:p>
    <w:p w14:paraId="3F4FB7D2" w14:textId="77777777" w:rsidR="00BB28BF" w:rsidRPr="00BB28BF" w:rsidRDefault="00BB28BF" w:rsidP="00BB28BF">
      <w:pPr>
        <w:widowControl w:val="0"/>
        <w:bidi/>
        <w:spacing w:after="240" w:line="250" w:lineRule="auto"/>
        <w:jc w:val="center"/>
        <w:rPr>
          <w:rFonts w:cs="B Mitra"/>
          <w:b/>
          <w:bCs/>
          <w:sz w:val="32"/>
          <w:szCs w:val="32"/>
          <w:rtl/>
          <w:lang w:bidi="fa-IR"/>
        </w:rPr>
      </w:pPr>
    </w:p>
    <w:sectPr w:rsidR="00BB28BF" w:rsidRPr="00BB28BF">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A2CA3" w14:textId="77777777" w:rsidR="00F71127" w:rsidRDefault="00F71127" w:rsidP="00F71127">
      <w:pPr>
        <w:spacing w:after="0" w:line="240" w:lineRule="auto"/>
      </w:pPr>
      <w:r>
        <w:separator/>
      </w:r>
    </w:p>
  </w:endnote>
  <w:endnote w:type="continuationSeparator" w:id="0">
    <w:p w14:paraId="49F2F136" w14:textId="77777777" w:rsidR="00F71127" w:rsidRDefault="00F7112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61F53" w14:textId="77777777" w:rsidR="00F71127" w:rsidRDefault="00F71127" w:rsidP="00EE25C0">
      <w:pPr>
        <w:bidi/>
        <w:spacing w:after="0" w:line="240" w:lineRule="auto"/>
      </w:pPr>
      <w:r>
        <w:separator/>
      </w:r>
    </w:p>
  </w:footnote>
  <w:footnote w:type="continuationSeparator" w:id="0">
    <w:p w14:paraId="2C11652C" w14:textId="77777777" w:rsidR="00F71127" w:rsidRDefault="00F71127" w:rsidP="00F71127">
      <w:pPr>
        <w:bidi/>
        <w:spacing w:after="0" w:line="240" w:lineRule="auto"/>
      </w:pPr>
      <w:r>
        <w:continuationSeparator/>
      </w:r>
    </w:p>
  </w:footnote>
  <w:footnote w:id="1">
    <w:p w14:paraId="74670A68" w14:textId="77777777" w:rsidR="00BB28BF" w:rsidRPr="002D27AB" w:rsidRDefault="00BB28BF" w:rsidP="00BB28B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کافی،ج5،ص411،ح5 ـ وسائل،ج21،ص229،ح26961.</w:t>
      </w:r>
    </w:p>
  </w:footnote>
  <w:footnote w:id="2">
    <w:p w14:paraId="30072148" w14:textId="77777777" w:rsidR="00BB28BF" w:rsidRPr="002D27AB" w:rsidRDefault="00BB28BF" w:rsidP="00BB28B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تهذيب،ج7،ص431،ح1716 ـ وسائل،ج21،ص231،ح26965.</w:t>
      </w:r>
    </w:p>
  </w:footnote>
  <w:footnote w:id="3">
    <w:p w14:paraId="1C949768" w14:textId="77777777" w:rsidR="00BB28BF" w:rsidRPr="002D27AB" w:rsidRDefault="00BB28BF" w:rsidP="00BB28B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کافی،ج5،ص411،ح7 ـ وسائل،ج21،ص233،ح26974.</w:t>
      </w:r>
    </w:p>
  </w:footnote>
  <w:footnote w:id="4">
    <w:p w14:paraId="0B8138DE" w14:textId="77777777" w:rsidR="00BB28BF" w:rsidRPr="002D27AB" w:rsidRDefault="00BB28BF" w:rsidP="00BB28B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وسائل،ج21،ص232،ح26972.</w:t>
      </w:r>
    </w:p>
  </w:footnote>
  <w:footnote w:id="5">
    <w:p w14:paraId="776F4615" w14:textId="77777777" w:rsidR="00BB28BF" w:rsidRPr="002D27AB" w:rsidRDefault="00BB28BF" w:rsidP="00BB28B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المقنع،ص311 ـ وسائل،ج21،ص232،ح26971.</w:t>
      </w:r>
    </w:p>
  </w:footnote>
  <w:footnote w:id="6">
    <w:p w14:paraId="02E07EA1" w14:textId="77777777" w:rsidR="00BB28BF" w:rsidRPr="002D27AB" w:rsidRDefault="00BB28BF" w:rsidP="00BB28B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تهذيب،ج7،ص431،ح1718 ـ وسائل،ج21،ص231،ح26967.</w:t>
      </w:r>
    </w:p>
  </w:footnote>
  <w:footnote w:id="7">
    <w:p w14:paraId="7966A8A6" w14:textId="77777777" w:rsidR="00BB28BF" w:rsidRPr="002D27AB" w:rsidRDefault="00BB28BF" w:rsidP="00BB28B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مختلف،ج7،ص206.</w:t>
      </w:r>
    </w:p>
  </w:footnote>
  <w:footnote w:id="8">
    <w:p w14:paraId="7260D10E" w14:textId="77777777" w:rsidR="00BB28BF" w:rsidRPr="002D27AB" w:rsidRDefault="00BB28BF" w:rsidP="00BB28B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همان.</w:t>
      </w:r>
    </w:p>
  </w:footnote>
  <w:footnote w:id="9">
    <w:p w14:paraId="0740F476" w14:textId="77777777" w:rsidR="00BB28BF" w:rsidRPr="002D27AB" w:rsidRDefault="00BB28BF" w:rsidP="00BB28B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همان،ص207.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101B80"/>
    <w:rsid w:val="001050A2"/>
    <w:rsid w:val="0029688A"/>
    <w:rsid w:val="002A09CF"/>
    <w:rsid w:val="002D27AB"/>
    <w:rsid w:val="00331A5F"/>
    <w:rsid w:val="003A199D"/>
    <w:rsid w:val="00487869"/>
    <w:rsid w:val="005532E0"/>
    <w:rsid w:val="0060689C"/>
    <w:rsid w:val="0070259D"/>
    <w:rsid w:val="00703021"/>
    <w:rsid w:val="007374CF"/>
    <w:rsid w:val="008869B4"/>
    <w:rsid w:val="008F3842"/>
    <w:rsid w:val="00901208"/>
    <w:rsid w:val="00A62A68"/>
    <w:rsid w:val="00A96A24"/>
    <w:rsid w:val="00BB28BF"/>
    <w:rsid w:val="00C8378C"/>
    <w:rsid w:val="00C9572F"/>
    <w:rsid w:val="00CD52E6"/>
    <w:rsid w:val="00D22A70"/>
    <w:rsid w:val="00E214D7"/>
    <w:rsid w:val="00E6533A"/>
    <w:rsid w:val="00EE25C0"/>
    <w:rsid w:val="00F46AE2"/>
    <w:rsid w:val="00F46E3E"/>
    <w:rsid w:val="00F711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F884"/>
  <w15:chartTrackingRefBased/>
  <w15:docId w15:val="{48489C64-85C9-42DB-A4D9-603EA0B1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3</Pages>
  <Words>796</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 Mousavi</cp:lastModifiedBy>
  <cp:revision>21</cp:revision>
  <dcterms:created xsi:type="dcterms:W3CDTF">2022-09-30T09:35:00Z</dcterms:created>
  <dcterms:modified xsi:type="dcterms:W3CDTF">2022-10-02T06:33:00Z</dcterms:modified>
</cp:coreProperties>
</file>