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79A61" w14:textId="77777777" w:rsidR="008F3842" w:rsidRPr="008F3842" w:rsidRDefault="008F3842" w:rsidP="00A62A68">
      <w:pPr>
        <w:widowControl w:val="0"/>
        <w:bidi/>
        <w:spacing w:after="0"/>
        <w:ind w:left="1701" w:firstLine="284"/>
        <w:rPr>
          <w:rFonts w:cs="Abz-2 (Badr)"/>
          <w:b/>
          <w:bCs/>
          <w:sz w:val="28"/>
          <w:szCs w:val="28"/>
        </w:rPr>
      </w:pPr>
      <w:r w:rsidRPr="008F3842">
        <w:rPr>
          <w:rFonts w:cs="Abz-2 (Badr)" w:hint="cs"/>
          <w:b/>
          <w:bCs/>
          <w:sz w:val="28"/>
          <w:szCs w:val="28"/>
          <w:rtl/>
          <w:lang w:bidi="fa-IR"/>
        </w:rPr>
        <w:t>قال المحقّق الحلّي</w:t>
      </w:r>
      <w:r w:rsidRPr="008F3842">
        <w:rPr>
          <w:rFonts w:cs="Abz-2 (Badr)"/>
          <w:b/>
          <w:bCs/>
          <w:sz w:val="28"/>
          <w:szCs w:val="28"/>
          <w:rtl/>
        </w:rPr>
        <w:t>:</w:t>
      </w:r>
    </w:p>
    <w:p w14:paraId="37B58FAD" w14:textId="4B3CD062" w:rsidR="00F46AE2" w:rsidRPr="002D27AB" w:rsidRDefault="008F3842" w:rsidP="00A62A68">
      <w:pPr>
        <w:widowControl w:val="0"/>
        <w:bidi/>
        <w:spacing w:after="360"/>
        <w:ind w:left="1701" w:firstLine="284"/>
        <w:jc w:val="both"/>
        <w:rPr>
          <w:rFonts w:cs="Abz-2 (Badr)"/>
          <w:b/>
          <w:bCs/>
          <w:sz w:val="28"/>
          <w:szCs w:val="28"/>
          <w:rtl/>
          <w:lang w:bidi="fa-IR"/>
        </w:rPr>
      </w:pPr>
      <w:r w:rsidRPr="008F3842">
        <w:rPr>
          <w:rFonts w:cs="Abz-2 (Badr)"/>
          <w:b/>
          <w:bCs/>
          <w:sz w:val="28"/>
          <w:szCs w:val="28"/>
          <w:rtl/>
          <w:lang w:bidi="fa-IR"/>
        </w:rPr>
        <w:t>«</w:t>
      </w:r>
      <w:r w:rsidRPr="008F3842">
        <w:rPr>
          <w:rFonts w:cs="Abz-2 (Badr)" w:hint="cs"/>
          <w:b/>
          <w:bCs/>
          <w:sz w:val="28"/>
          <w:szCs w:val="28"/>
          <w:rtl/>
          <w:lang w:bidi="fa-IR"/>
        </w:rPr>
        <w:t>إذا ثبت العنن، فإن صبرت فلا كلام</w:t>
      </w:r>
      <w:r w:rsidR="00D22A70" w:rsidRPr="002D27AB">
        <w:rPr>
          <w:rFonts w:cs="Abz-2 (Badr)" w:hint="cs"/>
          <w:b/>
          <w:bCs/>
          <w:sz w:val="28"/>
          <w:szCs w:val="28"/>
          <w:rtl/>
          <w:lang w:bidi="fa-IR"/>
        </w:rPr>
        <w:t>.</w:t>
      </w:r>
      <w:r w:rsidRPr="008F3842">
        <w:rPr>
          <w:rFonts w:cs="Abz-2 (Badr)" w:hint="cs"/>
          <w:b/>
          <w:bCs/>
          <w:sz w:val="28"/>
          <w:szCs w:val="28"/>
          <w:rtl/>
          <w:lang w:bidi="fa-IR"/>
        </w:rPr>
        <w:t xml:space="preserve"> وإن رفعت أمرها إلى الحاكم أجّلها سنة من حين الترافع، فإن واقعها أو واقع غيرها فلا خيار، وإلا كان لها الفسخ ونصف المهر</w:t>
      </w:r>
      <w:r w:rsidRPr="008F3842">
        <w:rPr>
          <w:rFonts w:cs="Abz-2 (Badr)"/>
          <w:b/>
          <w:bCs/>
          <w:sz w:val="28"/>
          <w:szCs w:val="28"/>
          <w:rtl/>
          <w:lang w:bidi="fa-IR"/>
        </w:rPr>
        <w:t>.»</w:t>
      </w:r>
      <w:r w:rsidR="00F71127" w:rsidRPr="002D27AB">
        <w:rPr>
          <w:rStyle w:val="FootnoteReference"/>
          <w:rFonts w:cs="Abz-2 (Badr)"/>
          <w:b/>
          <w:bCs/>
          <w:sz w:val="28"/>
          <w:szCs w:val="28"/>
          <w:rtl/>
          <w:lang w:bidi="fa-IR"/>
        </w:rPr>
        <w:footnoteReference w:id="1"/>
      </w:r>
    </w:p>
    <w:p w14:paraId="4E502C59" w14:textId="1D0D3536" w:rsidR="008F3842" w:rsidRPr="002D27AB" w:rsidRDefault="008F3842" w:rsidP="00A62A68">
      <w:pPr>
        <w:widowControl w:val="0"/>
        <w:bidi/>
        <w:spacing w:after="0"/>
        <w:ind w:firstLine="284"/>
        <w:jc w:val="both"/>
        <w:rPr>
          <w:rFonts w:cs="Abz-2 (Badr)"/>
          <w:sz w:val="28"/>
          <w:szCs w:val="28"/>
          <w:rtl/>
        </w:rPr>
      </w:pPr>
      <w:r w:rsidRPr="002D27AB">
        <w:rPr>
          <w:rFonts w:cs="Abz-2 (Badr)" w:hint="cs"/>
          <w:sz w:val="28"/>
          <w:szCs w:val="28"/>
          <w:rtl/>
        </w:rPr>
        <w:t>اگر زنی که همسرش عنن دارد، بعد از ا</w:t>
      </w:r>
      <w:r w:rsidR="002D27AB">
        <w:rPr>
          <w:rFonts w:cs="Abz-2 (Badr)" w:hint="cs"/>
          <w:sz w:val="28"/>
          <w:szCs w:val="28"/>
          <w:rtl/>
        </w:rPr>
        <w:t>ي</w:t>
      </w:r>
      <w:r w:rsidRPr="002D27AB">
        <w:rPr>
          <w:rFonts w:cs="Abz-2 (Badr)" w:hint="cs"/>
          <w:sz w:val="28"/>
          <w:szCs w:val="28"/>
          <w:rtl/>
        </w:rPr>
        <w:t>ن که علم به عنن او پ</w:t>
      </w:r>
      <w:r w:rsidR="002D27AB">
        <w:rPr>
          <w:rFonts w:cs="Abz-2 (Badr)" w:hint="cs"/>
          <w:sz w:val="28"/>
          <w:szCs w:val="28"/>
          <w:rtl/>
        </w:rPr>
        <w:t>ي</w:t>
      </w:r>
      <w:r w:rsidRPr="002D27AB">
        <w:rPr>
          <w:rFonts w:cs="Abz-2 (Badr)" w:hint="cs"/>
          <w:sz w:val="28"/>
          <w:szCs w:val="28"/>
          <w:rtl/>
        </w:rPr>
        <w:t>دا کرد، راضی به آن شود، پس از آن د</w:t>
      </w:r>
      <w:r w:rsidR="002D27AB">
        <w:rPr>
          <w:rFonts w:cs="Abz-2 (Badr)" w:hint="cs"/>
          <w:sz w:val="28"/>
          <w:szCs w:val="28"/>
          <w:rtl/>
        </w:rPr>
        <w:t>ي</w:t>
      </w:r>
      <w:r w:rsidRPr="002D27AB">
        <w:rPr>
          <w:rFonts w:cs="Abz-2 (Badr)" w:hint="cs"/>
          <w:sz w:val="28"/>
          <w:szCs w:val="28"/>
          <w:rtl/>
        </w:rPr>
        <w:t>گر حقی برای فسخ نکاح نخواهد داشت</w:t>
      </w:r>
      <w:r w:rsidR="00D22A70" w:rsidRPr="002D27AB">
        <w:rPr>
          <w:rFonts w:cs="Abz-2 (Badr)" w:hint="cs"/>
          <w:sz w:val="28"/>
          <w:szCs w:val="28"/>
          <w:rtl/>
        </w:rPr>
        <w:t xml:space="preserve"> و در ا</w:t>
      </w:r>
      <w:r w:rsidR="002D27AB">
        <w:rPr>
          <w:rFonts w:cs="Abz-2 (Badr)" w:hint="cs"/>
          <w:sz w:val="28"/>
          <w:szCs w:val="28"/>
          <w:rtl/>
        </w:rPr>
        <w:t>ي</w:t>
      </w:r>
      <w:r w:rsidR="00D22A70" w:rsidRPr="002D27AB">
        <w:rPr>
          <w:rFonts w:cs="Abz-2 (Badr)" w:hint="cs"/>
          <w:sz w:val="28"/>
          <w:szCs w:val="28"/>
          <w:rtl/>
        </w:rPr>
        <w:t>ن خصوص ادعای اجماع ن</w:t>
      </w:r>
      <w:r w:rsidR="002D27AB">
        <w:rPr>
          <w:rFonts w:cs="Abz-2 (Badr)" w:hint="cs"/>
          <w:sz w:val="28"/>
          <w:szCs w:val="28"/>
          <w:rtl/>
        </w:rPr>
        <w:t>ي</w:t>
      </w:r>
      <w:r w:rsidR="00D22A70" w:rsidRPr="002D27AB">
        <w:rPr>
          <w:rFonts w:cs="Abz-2 (Badr)" w:hint="cs"/>
          <w:sz w:val="28"/>
          <w:szCs w:val="28"/>
          <w:rtl/>
        </w:rPr>
        <w:t>ز شده است</w:t>
      </w:r>
      <w:r w:rsidRPr="002D27AB">
        <w:rPr>
          <w:rFonts w:cs="Abz-2 (Badr)" w:hint="cs"/>
          <w:sz w:val="28"/>
          <w:szCs w:val="28"/>
          <w:rtl/>
        </w:rPr>
        <w:t>.</w:t>
      </w:r>
    </w:p>
    <w:p w14:paraId="04B908CD" w14:textId="46A05CD9" w:rsidR="00D22A70" w:rsidRPr="00D22A70" w:rsidRDefault="00D22A70" w:rsidP="00A62A68">
      <w:pPr>
        <w:widowControl w:val="0"/>
        <w:bidi/>
        <w:spacing w:after="0"/>
        <w:ind w:firstLine="284"/>
        <w:jc w:val="both"/>
        <w:rPr>
          <w:rFonts w:ascii="Noor_Nazli" w:eastAsia="Times New Roman" w:hAnsi="Noor_Nazli" w:cs="Abz-2 (Badr)"/>
          <w:sz w:val="36"/>
          <w:szCs w:val="36"/>
          <w:rtl/>
          <w:lang w:bidi="fa-IR"/>
        </w:rPr>
      </w:pPr>
      <w:r w:rsidRPr="002D27AB">
        <w:rPr>
          <w:rFonts w:cs="Abz-2 (Badr)" w:hint="cs"/>
          <w:sz w:val="28"/>
          <w:szCs w:val="28"/>
          <w:rtl/>
        </w:rPr>
        <w:t>قال الشيخ فی المبسوط: «إ</w:t>
      </w:r>
      <w:r w:rsidRPr="00D22A70">
        <w:rPr>
          <w:rFonts w:cs="Abz-2 (Badr)"/>
          <w:sz w:val="28"/>
          <w:szCs w:val="28"/>
          <w:rtl/>
        </w:rPr>
        <w:t>ن اختارت المقام معه ورضيت به مع ثبوت عننه، سقط خيارها بلا خلاف.</w:t>
      </w:r>
      <w:r w:rsidRPr="002D27AB">
        <w:rPr>
          <w:rFonts w:cs="Abz-2 (Badr)" w:hint="cs"/>
          <w:sz w:val="28"/>
          <w:szCs w:val="28"/>
          <w:rtl/>
        </w:rPr>
        <w:t>»</w:t>
      </w:r>
      <w:r w:rsidRPr="002D27AB">
        <w:rPr>
          <w:rStyle w:val="FootnoteReference"/>
          <w:rFonts w:cs="Abz-2 (Badr)"/>
          <w:sz w:val="28"/>
          <w:szCs w:val="28"/>
          <w:rtl/>
          <w:lang w:bidi="fa-IR"/>
        </w:rPr>
        <w:footnoteReference w:id="2"/>
      </w:r>
    </w:p>
    <w:p w14:paraId="6F523701" w14:textId="64440FD5" w:rsidR="00D22A70" w:rsidRPr="002D27AB" w:rsidRDefault="00703021" w:rsidP="00A62A68">
      <w:pPr>
        <w:widowControl w:val="0"/>
        <w:bidi/>
        <w:spacing w:after="0"/>
        <w:ind w:firstLine="284"/>
        <w:jc w:val="both"/>
        <w:rPr>
          <w:rFonts w:cs="Abz-2 (Badr)"/>
          <w:sz w:val="28"/>
          <w:szCs w:val="28"/>
          <w:rtl/>
        </w:rPr>
      </w:pPr>
      <w:r w:rsidRPr="002D27AB">
        <w:rPr>
          <w:rFonts w:cs="Abz-2 (Badr)" w:hint="cs"/>
          <w:sz w:val="28"/>
          <w:szCs w:val="28"/>
          <w:rtl/>
        </w:rPr>
        <w:t>مضافا بر ا</w:t>
      </w:r>
      <w:r w:rsidR="002D27AB">
        <w:rPr>
          <w:rFonts w:cs="Abz-2 (Badr)" w:hint="cs"/>
          <w:sz w:val="28"/>
          <w:szCs w:val="28"/>
          <w:rtl/>
        </w:rPr>
        <w:t>ي</w:t>
      </w:r>
      <w:r w:rsidRPr="002D27AB">
        <w:rPr>
          <w:rFonts w:cs="Abz-2 (Badr)" w:hint="cs"/>
          <w:sz w:val="28"/>
          <w:szCs w:val="28"/>
          <w:rtl/>
        </w:rPr>
        <w:t>ن که برخی از اخبار ن</w:t>
      </w:r>
      <w:r w:rsidR="002D27AB">
        <w:rPr>
          <w:rFonts w:cs="Abz-2 (Badr)" w:hint="cs"/>
          <w:sz w:val="28"/>
          <w:szCs w:val="28"/>
          <w:rtl/>
        </w:rPr>
        <w:t>ي</w:t>
      </w:r>
      <w:r w:rsidRPr="002D27AB">
        <w:rPr>
          <w:rFonts w:cs="Abz-2 (Badr)" w:hint="cs"/>
          <w:sz w:val="28"/>
          <w:szCs w:val="28"/>
          <w:rtl/>
        </w:rPr>
        <w:t>ز دلالت بر ا</w:t>
      </w:r>
      <w:r w:rsidR="002D27AB">
        <w:rPr>
          <w:rFonts w:cs="Abz-2 (Badr)" w:hint="cs"/>
          <w:sz w:val="28"/>
          <w:szCs w:val="28"/>
          <w:rtl/>
        </w:rPr>
        <w:t>ي</w:t>
      </w:r>
      <w:r w:rsidRPr="002D27AB">
        <w:rPr>
          <w:rFonts w:cs="Abz-2 (Badr)" w:hint="cs"/>
          <w:sz w:val="28"/>
          <w:szCs w:val="28"/>
          <w:rtl/>
        </w:rPr>
        <w:t>ن مطلب دارند.</w:t>
      </w:r>
    </w:p>
    <w:p w14:paraId="796F5AB1" w14:textId="22204435" w:rsidR="002D27AB" w:rsidRPr="002D27AB" w:rsidRDefault="002D27AB" w:rsidP="00A62A68">
      <w:pPr>
        <w:widowControl w:val="0"/>
        <w:bidi/>
        <w:spacing w:after="0"/>
        <w:ind w:firstLine="284"/>
        <w:jc w:val="both"/>
        <w:rPr>
          <w:rFonts w:cs="Abz-2 (Badr)"/>
          <w:sz w:val="28"/>
          <w:szCs w:val="28"/>
          <w:rtl/>
        </w:rPr>
      </w:pPr>
      <w:r w:rsidRPr="002D27AB">
        <w:rPr>
          <w:rFonts w:cs="Abz-2 (Badr)" w:hint="cs"/>
          <w:sz w:val="28"/>
          <w:szCs w:val="28"/>
          <w:rtl/>
        </w:rPr>
        <w:t xml:space="preserve">منها: خبر </w:t>
      </w:r>
      <w:r w:rsidRPr="002D27AB">
        <w:rPr>
          <w:rFonts w:cs="Abz-2 (Badr)"/>
          <w:sz w:val="28"/>
          <w:szCs w:val="28"/>
          <w:rtl/>
        </w:rPr>
        <w:t xml:space="preserve">أبي البختري‌ عن‌ </w:t>
      </w:r>
      <w:r w:rsidRPr="002D27AB">
        <w:rPr>
          <w:rFonts w:cs="Abz-2 (Badr)" w:hint="cs"/>
          <w:sz w:val="28"/>
          <w:szCs w:val="28"/>
          <w:rtl/>
        </w:rPr>
        <w:t>أ</w:t>
      </w:r>
      <w:r w:rsidRPr="002D27AB">
        <w:rPr>
          <w:rFonts w:cs="Abz-2 (Badr)"/>
          <w:sz w:val="28"/>
          <w:szCs w:val="28"/>
          <w:rtl/>
        </w:rPr>
        <w:t>بي جعفر</w:t>
      </w:r>
      <w:r w:rsidRPr="002D27AB">
        <w:rPr>
          <w:rFonts w:cs="Abz-2 (Badr)" w:hint="cs"/>
          <w:sz w:val="28"/>
          <w:szCs w:val="28"/>
          <w:rtl/>
        </w:rPr>
        <w:t>(ع)</w:t>
      </w:r>
      <w:r w:rsidRPr="002D27AB">
        <w:rPr>
          <w:rFonts w:cs="Abz-2 (Badr)"/>
          <w:sz w:val="28"/>
          <w:szCs w:val="28"/>
          <w:rtl/>
        </w:rPr>
        <w:t>‌ عن‌ أبيه</w:t>
      </w:r>
      <w:r w:rsidRPr="002D27AB">
        <w:rPr>
          <w:rFonts w:cs="Abz-2 (Badr)" w:hint="cs"/>
          <w:sz w:val="28"/>
          <w:szCs w:val="28"/>
          <w:rtl/>
        </w:rPr>
        <w:t>(ع):</w:t>
      </w:r>
      <w:r w:rsidRPr="002D27AB">
        <w:rPr>
          <w:rFonts w:cs="Abz-2 (Badr)"/>
          <w:sz w:val="28"/>
          <w:szCs w:val="28"/>
          <w:rtl/>
        </w:rPr>
        <w:t xml:space="preserve">‌ </w:t>
      </w:r>
      <w:r w:rsidRPr="002D27AB">
        <w:rPr>
          <w:rFonts w:cs="Abz-2 (Badr)" w:hint="cs"/>
          <w:sz w:val="28"/>
          <w:szCs w:val="28"/>
          <w:rtl/>
        </w:rPr>
        <w:t>«</w:t>
      </w:r>
      <w:r w:rsidRPr="002D27AB">
        <w:rPr>
          <w:rFonts w:cs="Abz-2 (Badr)"/>
          <w:sz w:val="28"/>
          <w:szCs w:val="28"/>
          <w:rtl/>
        </w:rPr>
        <w:t>أنّ‌ عليّا</w:t>
      </w:r>
      <w:r w:rsidRPr="002D27AB">
        <w:rPr>
          <w:rFonts w:cs="Abz-2 (Badr)" w:hint="cs"/>
          <w:sz w:val="28"/>
          <w:szCs w:val="28"/>
          <w:rtl/>
        </w:rPr>
        <w:t>(ع)</w:t>
      </w:r>
      <w:r w:rsidRPr="002D27AB">
        <w:rPr>
          <w:rFonts w:cs="Abz-2 (Badr)"/>
          <w:sz w:val="28"/>
          <w:szCs w:val="28"/>
          <w:rtl/>
        </w:rPr>
        <w:t>‌ كان‌ يقول‌: يؤخّر العنّين‌ سنة‌ من‌ يوم‌ ترافعه‌ امرأته</w:t>
      </w:r>
      <w:r w:rsidRPr="002D27AB">
        <w:rPr>
          <w:rFonts w:cs="Abz-2 (Badr)" w:hint="cs"/>
          <w:sz w:val="28"/>
          <w:szCs w:val="28"/>
          <w:rtl/>
        </w:rPr>
        <w:t>،</w:t>
      </w:r>
      <w:r w:rsidRPr="002D27AB">
        <w:rPr>
          <w:rFonts w:cs="Abz-2 (Badr)"/>
          <w:sz w:val="28"/>
          <w:szCs w:val="28"/>
          <w:rtl/>
        </w:rPr>
        <w:t xml:space="preserve"> فإن‌ خلص‌ إليها وإلا فرّق‌ بينهما</w:t>
      </w:r>
      <w:r w:rsidRPr="002D27AB">
        <w:rPr>
          <w:rFonts w:cs="Abz-2 (Badr)" w:hint="cs"/>
          <w:sz w:val="28"/>
          <w:szCs w:val="28"/>
          <w:rtl/>
        </w:rPr>
        <w:t>،</w:t>
      </w:r>
      <w:r w:rsidRPr="002D27AB">
        <w:rPr>
          <w:rFonts w:cs="Abz-2 (Badr)"/>
          <w:sz w:val="28"/>
          <w:szCs w:val="28"/>
          <w:rtl/>
        </w:rPr>
        <w:t xml:space="preserve"> فإن‌ رضيت‌ أن‌ تقيم‌ معه‌ ثمّ‌ طلبت‌ الخيار بعد ذل</w:t>
      </w:r>
      <w:r w:rsidRPr="002D27AB">
        <w:rPr>
          <w:rFonts w:cs="Abz-2 (Badr)" w:hint="cs"/>
          <w:sz w:val="28"/>
          <w:szCs w:val="28"/>
          <w:rtl/>
        </w:rPr>
        <w:t>ك</w:t>
      </w:r>
      <w:r w:rsidRPr="002D27AB">
        <w:rPr>
          <w:rFonts w:cs="Abz-2 (Badr)"/>
          <w:sz w:val="28"/>
          <w:szCs w:val="28"/>
          <w:rtl/>
        </w:rPr>
        <w:t>‌ فقد سقط الخيار ولا خيار لها</w:t>
      </w:r>
      <w:r w:rsidRPr="002D27AB">
        <w:rPr>
          <w:rFonts w:cs="Abz-2 (Badr)" w:hint="cs"/>
          <w:sz w:val="28"/>
          <w:szCs w:val="28"/>
          <w:rtl/>
        </w:rPr>
        <w:t>.</w:t>
      </w:r>
      <w:r w:rsidRPr="002D27AB">
        <w:rPr>
          <w:rFonts w:cs="Abz-2 (Badr)"/>
          <w:sz w:val="28"/>
          <w:szCs w:val="28"/>
          <w:rtl/>
        </w:rPr>
        <w:t>»</w:t>
      </w:r>
      <w:r w:rsidRPr="002D27AB">
        <w:rPr>
          <w:rStyle w:val="FootnoteReference"/>
          <w:rFonts w:cs="Abz-2 (Badr)"/>
          <w:sz w:val="28"/>
          <w:szCs w:val="28"/>
          <w:rtl/>
          <w:lang w:bidi="fa-IR"/>
        </w:rPr>
        <w:footnoteReference w:id="3"/>
      </w:r>
    </w:p>
    <w:p w14:paraId="53F7EA12" w14:textId="56A94CD6" w:rsidR="002D27AB" w:rsidRDefault="002D27AB" w:rsidP="00A62A68">
      <w:pPr>
        <w:widowControl w:val="0"/>
        <w:bidi/>
        <w:spacing w:after="0"/>
        <w:ind w:firstLine="284"/>
        <w:jc w:val="both"/>
        <w:rPr>
          <w:rFonts w:cs="Abz-2 (Badr)"/>
          <w:sz w:val="28"/>
          <w:szCs w:val="28"/>
          <w:rtl/>
        </w:rPr>
      </w:pPr>
      <w:r w:rsidRPr="002D27AB">
        <w:rPr>
          <w:rFonts w:cs="Abz-2 (Badr)" w:hint="cs"/>
          <w:sz w:val="28"/>
          <w:szCs w:val="28"/>
          <w:rtl/>
        </w:rPr>
        <w:t xml:space="preserve">ومنها: مرسلة الصدوق، قال: </w:t>
      </w:r>
      <w:r w:rsidRPr="002D27AB">
        <w:rPr>
          <w:rFonts w:cs="Abz-2 (Badr)" w:hint="cs"/>
          <w:sz w:val="28"/>
          <w:szCs w:val="28"/>
          <w:rtl/>
          <w:lang w:bidi="fa-IR"/>
        </w:rPr>
        <w:t>«</w:t>
      </w:r>
      <w:r w:rsidRPr="002D27AB">
        <w:rPr>
          <w:rFonts w:cs="Abz-2 (Badr)" w:hint="cs"/>
          <w:sz w:val="28"/>
          <w:szCs w:val="28"/>
          <w:rtl/>
        </w:rPr>
        <w:t>ر</w:t>
      </w:r>
      <w:r w:rsidRPr="002D27AB">
        <w:rPr>
          <w:rFonts w:cs="Abz-2 (Badr)"/>
          <w:sz w:val="28"/>
          <w:szCs w:val="28"/>
          <w:rtl/>
        </w:rPr>
        <w:t>وي‌ في خبر آخر: أنّه‌ متى أقامت‌ المرأة‌ مع‌ زوجها بعد ما علمت‌ أنّه‌ عنّين‌ ورضيت‌ به‌</w:t>
      </w:r>
      <w:r w:rsidRPr="002D27AB">
        <w:rPr>
          <w:rFonts w:cs="Abz-2 (Badr)" w:hint="cs"/>
          <w:sz w:val="28"/>
          <w:szCs w:val="28"/>
          <w:rtl/>
        </w:rPr>
        <w:t>،</w:t>
      </w:r>
      <w:r w:rsidRPr="002D27AB">
        <w:rPr>
          <w:rFonts w:cs="Abz-2 (Badr)"/>
          <w:sz w:val="28"/>
          <w:szCs w:val="28"/>
          <w:rtl/>
        </w:rPr>
        <w:t xml:space="preserve"> لم‌ يكن‌ لها خيار بعد الرضا</w:t>
      </w:r>
      <w:r w:rsidRPr="002D27AB">
        <w:rPr>
          <w:rFonts w:cs="Abz-2 (Badr)" w:hint="cs"/>
          <w:sz w:val="28"/>
          <w:szCs w:val="28"/>
          <w:rtl/>
        </w:rPr>
        <w:t>.</w:t>
      </w:r>
      <w:r w:rsidRPr="002D27AB">
        <w:rPr>
          <w:rFonts w:cs="Abz-2 (Badr)"/>
          <w:sz w:val="28"/>
          <w:szCs w:val="28"/>
          <w:rtl/>
        </w:rPr>
        <w:t>»</w:t>
      </w:r>
      <w:r w:rsidRPr="002D27AB">
        <w:rPr>
          <w:rStyle w:val="FootnoteReference"/>
          <w:rFonts w:cs="Abz-2 (Badr)"/>
          <w:sz w:val="28"/>
          <w:szCs w:val="28"/>
          <w:rtl/>
          <w:lang w:bidi="fa-IR"/>
        </w:rPr>
        <w:footnoteReference w:id="4"/>
      </w:r>
    </w:p>
    <w:p w14:paraId="37F59BD0" w14:textId="0C9D412E" w:rsidR="0029688A" w:rsidRPr="00CD52E6" w:rsidRDefault="0029688A" w:rsidP="00A62A68">
      <w:pPr>
        <w:widowControl w:val="0"/>
        <w:bidi/>
        <w:spacing w:after="0"/>
        <w:ind w:firstLine="284"/>
        <w:jc w:val="both"/>
        <w:rPr>
          <w:rFonts w:cs="Abz-2 (Badr)"/>
          <w:spacing w:val="-6"/>
          <w:sz w:val="28"/>
          <w:szCs w:val="28"/>
          <w:rtl/>
        </w:rPr>
      </w:pPr>
      <w:r w:rsidRPr="00CD52E6">
        <w:rPr>
          <w:rFonts w:cs="Abz-2 (Badr)" w:hint="cs"/>
          <w:spacing w:val="-6"/>
          <w:sz w:val="28"/>
          <w:szCs w:val="28"/>
          <w:rtl/>
        </w:rPr>
        <w:t>دليل اين مطلب نيز اين است که همان گونه که در ضمن ابحاث مربوط به اشتراط اذن عمه و خاله در نکاح زوج با برادرزاده يا خواهرزاده زوجه بيان شد، در مواردی که جعل حق برای کسی فقط از باب امتنان بر او باشد، حق با اسقاط آن توسط صاحب حق، ساقط می</w:t>
      </w:r>
      <w:r w:rsidRPr="00CD52E6">
        <w:rPr>
          <w:rFonts w:cs="Abz-2 (Badr)"/>
          <w:spacing w:val="-6"/>
          <w:sz w:val="28"/>
          <w:szCs w:val="28"/>
          <w:rtl/>
        </w:rPr>
        <w:softHyphen/>
      </w:r>
      <w:r w:rsidRPr="00CD52E6">
        <w:rPr>
          <w:rFonts w:cs="Abz-2 (Badr)" w:hint="cs"/>
          <w:spacing w:val="-6"/>
          <w:sz w:val="28"/>
          <w:szCs w:val="28"/>
          <w:rtl/>
        </w:rPr>
        <w:t>گردد و پس از اسقاط نيز دليلی برای اين که حق دوباره برای وی ايجاد گردد، وجود ندارد.</w:t>
      </w:r>
    </w:p>
    <w:p w14:paraId="07388D05" w14:textId="39B45043" w:rsidR="002D27AB" w:rsidRDefault="0029688A" w:rsidP="00A62A68">
      <w:pPr>
        <w:widowControl w:val="0"/>
        <w:bidi/>
        <w:spacing w:after="0"/>
        <w:ind w:firstLine="284"/>
        <w:jc w:val="both"/>
        <w:rPr>
          <w:rFonts w:cs="Abz-2 (Badr)"/>
          <w:sz w:val="28"/>
          <w:szCs w:val="28"/>
          <w:rtl/>
          <w:lang w:bidi="fa-IR"/>
        </w:rPr>
      </w:pPr>
      <w:r w:rsidRPr="0029688A">
        <w:rPr>
          <w:rFonts w:cs="Abz-2 (Badr)" w:hint="cs"/>
          <w:sz w:val="28"/>
          <w:szCs w:val="28"/>
          <w:rtl/>
          <w:lang w:bidi="fa-IR"/>
        </w:rPr>
        <w:t>البته ش</w:t>
      </w:r>
      <w:r>
        <w:rPr>
          <w:rFonts w:cs="Abz-2 (Badr)" w:hint="cs"/>
          <w:sz w:val="28"/>
          <w:szCs w:val="28"/>
          <w:rtl/>
          <w:lang w:bidi="fa-IR"/>
        </w:rPr>
        <w:t>ي</w:t>
      </w:r>
      <w:r w:rsidRPr="0029688A">
        <w:rPr>
          <w:rFonts w:cs="Abz-2 (Badr)" w:hint="cs"/>
          <w:sz w:val="28"/>
          <w:szCs w:val="28"/>
          <w:rtl/>
          <w:lang w:bidi="fa-IR"/>
        </w:rPr>
        <w:t xml:space="preserve">خ در مبسوط از برخی از عامه </w:t>
      </w:r>
      <w:r>
        <w:rPr>
          <w:rFonts w:cs="Abz-2 (Badr)" w:hint="cs"/>
          <w:sz w:val="28"/>
          <w:szCs w:val="28"/>
          <w:rtl/>
          <w:lang w:bidi="fa-IR"/>
        </w:rPr>
        <w:t xml:space="preserve">نقل کرده است که در خصوص سقوط حق زوجه در صورتی که آن را قبل از </w:t>
      </w:r>
      <w:r w:rsidR="003A199D">
        <w:rPr>
          <w:rFonts w:cs="Abz-2 (Badr)" w:hint="cs"/>
          <w:sz w:val="28"/>
          <w:szCs w:val="28"/>
          <w:rtl/>
          <w:lang w:bidi="fa-IR"/>
        </w:rPr>
        <w:t xml:space="preserve">امهال زوج و يا قبل از </w:t>
      </w:r>
      <w:r>
        <w:rPr>
          <w:rFonts w:cs="Abz-2 (Badr)" w:hint="cs"/>
          <w:sz w:val="28"/>
          <w:szCs w:val="28"/>
          <w:rtl/>
          <w:lang w:bidi="fa-IR"/>
        </w:rPr>
        <w:t>به سرآمدن مهلت يک ساله زوج ساقط کند، اشکال گرفته</w:t>
      </w:r>
      <w:r>
        <w:rPr>
          <w:rFonts w:cs="Abz-2 (Badr)"/>
          <w:sz w:val="28"/>
          <w:szCs w:val="28"/>
          <w:rtl/>
          <w:lang w:bidi="fa-IR"/>
        </w:rPr>
        <w:softHyphen/>
      </w:r>
      <w:r>
        <w:rPr>
          <w:rFonts w:cs="Abz-2 (Badr)" w:hint="cs"/>
          <w:sz w:val="28"/>
          <w:szCs w:val="28"/>
          <w:rtl/>
          <w:lang w:bidi="fa-IR"/>
        </w:rPr>
        <w:t>اند</w:t>
      </w:r>
      <w:r w:rsidR="00CD52E6" w:rsidRPr="002D27AB">
        <w:rPr>
          <w:rStyle w:val="FootnoteReference"/>
          <w:rFonts w:cs="Abz-2 (Badr)"/>
          <w:sz w:val="28"/>
          <w:szCs w:val="28"/>
          <w:rtl/>
          <w:lang w:bidi="fa-IR"/>
        </w:rPr>
        <w:footnoteReference w:id="5"/>
      </w:r>
      <w:r>
        <w:rPr>
          <w:rFonts w:cs="Abz-2 (Badr)" w:hint="cs"/>
          <w:sz w:val="28"/>
          <w:szCs w:val="28"/>
          <w:rtl/>
          <w:lang w:bidi="fa-IR"/>
        </w:rPr>
        <w:t xml:space="preserve"> و </w:t>
      </w:r>
      <w:r w:rsidR="003A199D">
        <w:rPr>
          <w:rFonts w:cs="Abz-2 (Badr)" w:hint="cs"/>
          <w:sz w:val="28"/>
          <w:szCs w:val="28"/>
          <w:rtl/>
          <w:lang w:bidi="fa-IR"/>
        </w:rPr>
        <w:t>وجه آن اين گونه بيان شده است که تا قبل از اين که حاکم به زوج مهلت دهد و آن مهلت به سرآيد، زوجه حقی ندارد تا بخواهد آن را اسقاط کند</w:t>
      </w:r>
      <w:r w:rsidR="00CD52E6" w:rsidRPr="002D27AB">
        <w:rPr>
          <w:rStyle w:val="FootnoteReference"/>
          <w:rFonts w:cs="Abz-2 (Badr)"/>
          <w:sz w:val="28"/>
          <w:szCs w:val="28"/>
          <w:rtl/>
          <w:lang w:bidi="fa-IR"/>
        </w:rPr>
        <w:footnoteReference w:id="6"/>
      </w:r>
      <w:r w:rsidR="003A199D">
        <w:rPr>
          <w:rFonts w:cs="Abz-2 (Badr)" w:hint="cs"/>
          <w:sz w:val="28"/>
          <w:szCs w:val="28"/>
          <w:rtl/>
          <w:lang w:bidi="fa-IR"/>
        </w:rPr>
        <w:t>، بنابر اين اسقاط آن در آن زمان از باب عدم صحّت اسقاط ما لم يجب صحيح نخواهد بود</w:t>
      </w:r>
      <w:r w:rsidR="00CD52E6" w:rsidRPr="002D27AB">
        <w:rPr>
          <w:rStyle w:val="FootnoteReference"/>
          <w:rFonts w:cs="Abz-2 (Badr)"/>
          <w:sz w:val="28"/>
          <w:szCs w:val="28"/>
          <w:rtl/>
          <w:lang w:bidi="fa-IR"/>
        </w:rPr>
        <w:footnoteReference w:id="7"/>
      </w:r>
      <w:r w:rsidR="003A199D">
        <w:rPr>
          <w:rFonts w:cs="Abz-2 (Badr)" w:hint="cs"/>
          <w:sz w:val="28"/>
          <w:szCs w:val="28"/>
          <w:rtl/>
          <w:lang w:bidi="fa-IR"/>
        </w:rPr>
        <w:t>.</w:t>
      </w:r>
    </w:p>
    <w:p w14:paraId="036ECA4B" w14:textId="4AE57953" w:rsidR="00CD52E6" w:rsidRDefault="00CD52E6" w:rsidP="00A62A68">
      <w:pPr>
        <w:widowControl w:val="0"/>
        <w:bidi/>
        <w:spacing w:after="0"/>
        <w:ind w:firstLine="284"/>
        <w:jc w:val="both"/>
        <w:rPr>
          <w:rFonts w:cs="Abz-2 (Badr)"/>
          <w:sz w:val="28"/>
          <w:szCs w:val="28"/>
          <w:rtl/>
          <w:lang w:bidi="fa-IR"/>
        </w:rPr>
      </w:pPr>
      <w:r>
        <w:rPr>
          <w:rFonts w:cs="Abz-2 (Badr)" w:hint="cs"/>
          <w:sz w:val="28"/>
          <w:szCs w:val="28"/>
          <w:rtl/>
          <w:lang w:bidi="fa-IR"/>
        </w:rPr>
        <w:t>اما پاسخ اين مدعا اين است که اوّلا: سبب حق فسخ برای زوجه، عنن زوج است که موجود است و امهال به زوج بدين معنا نيست که تا پيش از پايان اجل زوجه حقی ندارد، بلکه اعمال حق برای وی مقيّد به چنين قيدی شده است.</w:t>
      </w:r>
    </w:p>
    <w:p w14:paraId="56E89D7B" w14:textId="606C3759" w:rsidR="00A62A68" w:rsidRDefault="00CD52E6" w:rsidP="007374CF">
      <w:pPr>
        <w:widowControl w:val="0"/>
        <w:bidi/>
        <w:spacing w:after="0" w:line="254" w:lineRule="auto"/>
        <w:ind w:firstLine="284"/>
        <w:jc w:val="both"/>
        <w:rPr>
          <w:rFonts w:cs="Abz-2 (Badr)"/>
          <w:sz w:val="28"/>
          <w:szCs w:val="28"/>
          <w:rtl/>
          <w:lang w:bidi="fa-IR"/>
        </w:rPr>
      </w:pPr>
      <w:r>
        <w:rPr>
          <w:rFonts w:cs="Abz-2 (Badr)" w:hint="cs"/>
          <w:sz w:val="28"/>
          <w:szCs w:val="28"/>
          <w:rtl/>
          <w:lang w:bidi="fa-IR"/>
        </w:rPr>
        <w:lastRenderedPageBreak/>
        <w:t>و ثانيا: قاعده عدم امکان اسقاط ما لم يجب قاعده مقبولی در نزد ما نيست.</w:t>
      </w:r>
    </w:p>
    <w:p w14:paraId="32AF65B7" w14:textId="74DD81AF" w:rsidR="00CD52E6" w:rsidRDefault="0060689C" w:rsidP="007374CF">
      <w:pPr>
        <w:widowControl w:val="0"/>
        <w:bidi/>
        <w:spacing w:after="0" w:line="254" w:lineRule="auto"/>
        <w:ind w:firstLine="284"/>
        <w:jc w:val="both"/>
        <w:rPr>
          <w:rFonts w:cs="Abz-2 (Badr)"/>
          <w:sz w:val="28"/>
          <w:szCs w:val="28"/>
          <w:rtl/>
          <w:lang w:bidi="fa-IR"/>
        </w:rPr>
      </w:pPr>
      <w:r>
        <w:rPr>
          <w:rFonts w:cs="Abz-2 (Badr)" w:hint="cs"/>
          <w:sz w:val="28"/>
          <w:szCs w:val="28"/>
          <w:rtl/>
          <w:lang w:bidi="fa-IR"/>
        </w:rPr>
        <w:t>بلکه در صورتی که زوجه نداند که زوج عنن دارد و حق خود برای فسخ نکاح را در صورت وجود عنن زوج اسقاط کند و سپس معلوم شود که زوج عنن داشته نيز اصحاب قائل به سقوط حق وی شده</w:t>
      </w:r>
      <w:r>
        <w:rPr>
          <w:rFonts w:cs="Abz-2 (Badr)"/>
          <w:sz w:val="28"/>
          <w:szCs w:val="28"/>
          <w:rtl/>
          <w:lang w:bidi="fa-IR"/>
        </w:rPr>
        <w:softHyphen/>
      </w:r>
      <w:r>
        <w:rPr>
          <w:rFonts w:cs="Abz-2 (Badr)" w:hint="cs"/>
          <w:sz w:val="28"/>
          <w:szCs w:val="28"/>
          <w:rtl/>
          <w:lang w:bidi="fa-IR"/>
        </w:rPr>
        <w:t>اند.</w:t>
      </w:r>
      <w:r w:rsidRPr="002D27AB">
        <w:rPr>
          <w:rStyle w:val="FootnoteReference"/>
          <w:rFonts w:cs="Abz-2 (Badr)"/>
          <w:sz w:val="28"/>
          <w:szCs w:val="28"/>
          <w:rtl/>
          <w:lang w:bidi="fa-IR"/>
        </w:rPr>
        <w:footnoteReference w:id="8"/>
      </w:r>
    </w:p>
    <w:p w14:paraId="70C51B92" w14:textId="6CE9D6B2" w:rsidR="0060689C" w:rsidRDefault="0060689C" w:rsidP="007374CF">
      <w:pPr>
        <w:widowControl w:val="0"/>
        <w:bidi/>
        <w:spacing w:after="0" w:line="254" w:lineRule="auto"/>
        <w:ind w:firstLine="284"/>
        <w:jc w:val="both"/>
        <w:rPr>
          <w:rFonts w:cs="Abz-2 (Badr)"/>
          <w:sz w:val="28"/>
          <w:szCs w:val="28"/>
          <w:rtl/>
          <w:lang w:bidi="fa-IR"/>
        </w:rPr>
      </w:pPr>
      <w:r>
        <w:rPr>
          <w:rFonts w:cs="Abz-2 (Badr)" w:hint="cs"/>
          <w:sz w:val="28"/>
          <w:szCs w:val="28"/>
          <w:rtl/>
          <w:lang w:bidi="fa-IR"/>
        </w:rPr>
        <w:t>حق نيز اين است که در اين صورت حق زوجه ساقط خواهد شد، زيرا جواز اسقاط مبتنی بر وجود خيار برای وی در واقع است نه بر علم وی به وجود آن.</w:t>
      </w:r>
    </w:p>
    <w:p w14:paraId="61DE4FE4" w14:textId="6FADF5F1" w:rsidR="0060689C" w:rsidRDefault="0060689C" w:rsidP="007374CF">
      <w:pPr>
        <w:widowControl w:val="0"/>
        <w:bidi/>
        <w:spacing w:after="0" w:line="254" w:lineRule="auto"/>
        <w:ind w:firstLine="284"/>
        <w:jc w:val="both"/>
        <w:rPr>
          <w:rFonts w:cs="Abz-2 (Badr)"/>
          <w:sz w:val="28"/>
          <w:szCs w:val="28"/>
          <w:rtl/>
          <w:lang w:bidi="fa-IR"/>
        </w:rPr>
      </w:pPr>
      <w:r>
        <w:rPr>
          <w:rFonts w:cs="Abz-2 (Badr)" w:hint="cs"/>
          <w:sz w:val="28"/>
          <w:szCs w:val="28"/>
          <w:rtl/>
          <w:lang w:bidi="fa-IR"/>
        </w:rPr>
        <w:t>بلکه بنابر آنچه که گذشت مبنی بر امکان اسقاط ما لم يجب، اگر زوج حق خود را در صورت بروز عنن در زمان لاحق اسقاط کند ـ بنابر اين که بروز عنن بعد از عقد و قبل از وطی، سبب حق زوجه برای فسخ می</w:t>
      </w:r>
      <w:r>
        <w:rPr>
          <w:rFonts w:cs="Abz-2 (Badr)"/>
          <w:sz w:val="28"/>
          <w:szCs w:val="28"/>
          <w:rtl/>
          <w:lang w:bidi="fa-IR"/>
        </w:rPr>
        <w:softHyphen/>
      </w:r>
      <w:r>
        <w:rPr>
          <w:rFonts w:cs="Abz-2 (Badr)" w:hint="cs"/>
          <w:sz w:val="28"/>
          <w:szCs w:val="28"/>
          <w:rtl/>
          <w:lang w:bidi="fa-IR"/>
        </w:rPr>
        <w:t>گردد ـ نيز اقوی سقوط حق وی است.</w:t>
      </w:r>
    </w:p>
    <w:p w14:paraId="7FC104C0" w14:textId="18CF238B" w:rsidR="00C9572F" w:rsidRDefault="00C9572F" w:rsidP="007374CF">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مسأله</w:t>
      </w:r>
      <w:r>
        <w:rPr>
          <w:rFonts w:cs="Abz-2 (Badr)"/>
          <w:sz w:val="28"/>
          <w:szCs w:val="28"/>
          <w:lang w:bidi="fa-IR"/>
        </w:rPr>
        <w:t>‎</w:t>
      </w:r>
      <w:r>
        <w:rPr>
          <w:rFonts w:cs="Abz-2 (Badr)" w:hint="cs"/>
          <w:sz w:val="28"/>
          <w:szCs w:val="28"/>
          <w:rtl/>
          <w:lang w:bidi="fa-IR"/>
        </w:rPr>
        <w:t>ای که در اين مقام وجود دارد اين است که آيا سکوت زوجه و عدم اقدام وی بر مرافعه، سبب سقوط حق وی می</w:t>
      </w:r>
      <w:r>
        <w:rPr>
          <w:rFonts w:cs="Abz-2 (Badr)"/>
          <w:sz w:val="28"/>
          <w:szCs w:val="28"/>
          <w:lang w:bidi="fa-IR"/>
        </w:rPr>
        <w:t>‎</w:t>
      </w:r>
      <w:r>
        <w:rPr>
          <w:rFonts w:cs="Abz-2 (Badr)" w:hint="cs"/>
          <w:sz w:val="28"/>
          <w:szCs w:val="28"/>
          <w:rtl/>
          <w:lang w:bidi="fa-IR"/>
        </w:rPr>
        <w:t>گردد؟</w:t>
      </w:r>
    </w:p>
    <w:p w14:paraId="62874B01" w14:textId="7AC75774" w:rsidR="00C9572F" w:rsidRDefault="00C9572F" w:rsidP="007374CF">
      <w:pPr>
        <w:widowControl w:val="0"/>
        <w:bidi/>
        <w:spacing w:after="0" w:line="254" w:lineRule="auto"/>
        <w:ind w:firstLine="284"/>
        <w:jc w:val="both"/>
        <w:rPr>
          <w:rFonts w:cs="Abz-2 (Badr)"/>
          <w:sz w:val="28"/>
          <w:szCs w:val="28"/>
          <w:rtl/>
        </w:rPr>
      </w:pPr>
      <w:r>
        <w:rPr>
          <w:rFonts w:cs="Abz-2 (Badr)" w:hint="cs"/>
          <w:sz w:val="28"/>
          <w:szCs w:val="28"/>
          <w:rtl/>
        </w:rPr>
        <w:t>سابقا و در ضمن مسأله دوم از مسائل احکام عيوب شرائع گفته شد که أصحاب نوعا قائل به وجوب فوريت در اخد به خيار برای فسخ عقد شده</w:t>
      </w:r>
      <w:r>
        <w:rPr>
          <w:rFonts w:cs="Abz-2 (Badr)"/>
          <w:sz w:val="28"/>
          <w:szCs w:val="28"/>
        </w:rPr>
        <w:t>‎</w:t>
      </w:r>
      <w:r>
        <w:rPr>
          <w:rFonts w:cs="Abz-2 (Badr)" w:hint="cs"/>
          <w:sz w:val="28"/>
          <w:szCs w:val="28"/>
          <w:rtl/>
        </w:rPr>
        <w:t>اند. به همين جهت برخی از اصحاب در ما نحن فيه حکم به لزوم فوريت در مرافعه کرده</w:t>
      </w:r>
      <w:r>
        <w:rPr>
          <w:rFonts w:cs="Abz-2 (Badr)"/>
          <w:sz w:val="28"/>
          <w:szCs w:val="28"/>
          <w:rtl/>
        </w:rPr>
        <w:softHyphen/>
      </w:r>
      <w:r>
        <w:rPr>
          <w:rFonts w:cs="Abz-2 (Badr)" w:hint="cs"/>
          <w:sz w:val="28"/>
          <w:szCs w:val="28"/>
          <w:rtl/>
        </w:rPr>
        <w:t>اند و بدون آن حق زن را ساقط دانسته</w:t>
      </w:r>
      <w:r>
        <w:rPr>
          <w:rFonts w:cs="Abz-2 (Badr)"/>
          <w:sz w:val="28"/>
          <w:szCs w:val="28"/>
          <w:rtl/>
        </w:rPr>
        <w:softHyphen/>
      </w:r>
      <w:r>
        <w:rPr>
          <w:rFonts w:cs="Abz-2 (Badr)" w:hint="cs"/>
          <w:sz w:val="28"/>
          <w:szCs w:val="28"/>
          <w:rtl/>
        </w:rPr>
        <w:t>اند.</w:t>
      </w:r>
    </w:p>
    <w:p w14:paraId="70FB2F39" w14:textId="4DAE077E" w:rsidR="00331A5F" w:rsidRDefault="00331A5F" w:rsidP="007374CF">
      <w:pPr>
        <w:widowControl w:val="0"/>
        <w:bidi/>
        <w:spacing w:after="0" w:line="252" w:lineRule="auto"/>
        <w:ind w:firstLine="284"/>
        <w:jc w:val="both"/>
        <w:rPr>
          <w:rFonts w:cs="Abz-2 (Badr)"/>
          <w:sz w:val="28"/>
          <w:szCs w:val="28"/>
          <w:rtl/>
          <w:lang w:bidi="fa-IR"/>
        </w:rPr>
      </w:pPr>
      <w:r>
        <w:rPr>
          <w:rFonts w:cs="Abz-2 (Badr)" w:hint="cs"/>
          <w:sz w:val="28"/>
          <w:szCs w:val="28"/>
          <w:rtl/>
        </w:rPr>
        <w:t>قال الشهيد الثاني في المسالك</w:t>
      </w:r>
      <w:r>
        <w:rPr>
          <w:rFonts w:cs="Abz-2 (Badr)" w:hint="cs"/>
          <w:sz w:val="28"/>
          <w:szCs w:val="28"/>
          <w:rtl/>
          <w:lang w:bidi="fa-IR"/>
        </w:rPr>
        <w:t>: «</w:t>
      </w:r>
      <w:r w:rsidRPr="00331A5F">
        <w:rPr>
          <w:rFonts w:cs="Abz-2 (Badr)"/>
          <w:sz w:val="28"/>
          <w:szCs w:val="28"/>
          <w:rtl/>
        </w:rPr>
        <w:t>مرافعة المرأة فوريّة كما أن</w:t>
      </w:r>
      <w:r>
        <w:rPr>
          <w:rFonts w:cs="Abz-2 (Badr)" w:hint="cs"/>
          <w:sz w:val="28"/>
          <w:szCs w:val="28"/>
          <w:rtl/>
        </w:rPr>
        <w:t>ّ</w:t>
      </w:r>
      <w:r w:rsidRPr="00331A5F">
        <w:rPr>
          <w:rFonts w:cs="Abz-2 (Badr)"/>
          <w:sz w:val="28"/>
          <w:szCs w:val="28"/>
          <w:rtl/>
        </w:rPr>
        <w:t xml:space="preserve"> فسخها فوريّ‌.</w:t>
      </w:r>
      <w:r>
        <w:rPr>
          <w:rFonts w:cs="Abz-2 (Badr)" w:hint="cs"/>
          <w:sz w:val="28"/>
          <w:szCs w:val="28"/>
          <w:rtl/>
        </w:rPr>
        <w:t>»</w:t>
      </w:r>
      <w:r w:rsidRPr="002D27AB">
        <w:rPr>
          <w:rStyle w:val="FootnoteReference"/>
          <w:rFonts w:cs="Abz-2 (Badr)"/>
          <w:sz w:val="28"/>
          <w:szCs w:val="28"/>
          <w:rtl/>
          <w:lang w:bidi="fa-IR"/>
        </w:rPr>
        <w:footnoteReference w:id="9"/>
      </w:r>
    </w:p>
    <w:p w14:paraId="4F4C30EA" w14:textId="0B218F55" w:rsidR="00331A5F" w:rsidRPr="00331A5F" w:rsidRDefault="00331A5F" w:rsidP="007374CF">
      <w:pPr>
        <w:widowControl w:val="0"/>
        <w:bidi/>
        <w:spacing w:after="0" w:line="252" w:lineRule="auto"/>
        <w:ind w:firstLine="284"/>
        <w:jc w:val="both"/>
        <w:rPr>
          <w:rFonts w:ascii="Noor_Nazli" w:eastAsia="Times New Roman" w:hAnsi="Noor_Nazli" w:cs="Times New Roman"/>
          <w:sz w:val="36"/>
          <w:szCs w:val="36"/>
          <w:rtl/>
          <w:lang w:bidi="fa-IR"/>
        </w:rPr>
      </w:pPr>
      <w:r>
        <w:rPr>
          <w:rFonts w:cs="Abz-2 (Badr)" w:hint="cs"/>
          <w:sz w:val="28"/>
          <w:szCs w:val="28"/>
          <w:rtl/>
        </w:rPr>
        <w:t>وقال صاحب الرياض: «</w:t>
      </w:r>
      <w:r w:rsidRPr="00331A5F">
        <w:rPr>
          <w:rFonts w:cs="Abz-2 (Badr)"/>
          <w:sz w:val="28"/>
          <w:szCs w:val="28"/>
          <w:rtl/>
        </w:rPr>
        <w:t>إن صبرت الزوجة مع العنن بعد ثبوته بإحدى الطرق السابقة من دون مرافعة إلى الحاكم</w:t>
      </w:r>
      <w:r>
        <w:rPr>
          <w:rFonts w:cs="Abz-2 (Badr)" w:hint="cs"/>
          <w:sz w:val="28"/>
          <w:szCs w:val="28"/>
          <w:rtl/>
        </w:rPr>
        <w:t>،</w:t>
      </w:r>
      <w:r w:rsidRPr="00331A5F">
        <w:rPr>
          <w:rFonts w:cs="Abz-2 (Badr)"/>
          <w:sz w:val="28"/>
          <w:szCs w:val="28"/>
          <w:rtl/>
        </w:rPr>
        <w:t xml:space="preserve"> فلا بحث في لزوم العقد</w:t>
      </w:r>
      <w:r>
        <w:rPr>
          <w:rFonts w:cs="Abz-2 (Badr)" w:hint="cs"/>
          <w:sz w:val="28"/>
          <w:szCs w:val="28"/>
          <w:rtl/>
        </w:rPr>
        <w:t xml:space="preserve">، </w:t>
      </w:r>
      <w:r w:rsidRPr="00331A5F">
        <w:rPr>
          <w:rFonts w:cs="Abz-2 (Badr)"/>
          <w:sz w:val="28"/>
          <w:szCs w:val="28"/>
          <w:rtl/>
        </w:rPr>
        <w:t>لفوريّة المرافعة</w:t>
      </w:r>
      <w:r>
        <w:rPr>
          <w:rFonts w:cs="Abz-2 (Badr)" w:hint="cs"/>
          <w:sz w:val="28"/>
          <w:szCs w:val="28"/>
          <w:rtl/>
        </w:rPr>
        <w:t>.»</w:t>
      </w:r>
      <w:r w:rsidRPr="002D27AB">
        <w:rPr>
          <w:rStyle w:val="FootnoteReference"/>
          <w:rFonts w:cs="Abz-2 (Badr)"/>
          <w:sz w:val="28"/>
          <w:szCs w:val="28"/>
          <w:rtl/>
          <w:lang w:bidi="fa-IR"/>
        </w:rPr>
        <w:footnoteReference w:id="10"/>
      </w:r>
    </w:p>
    <w:p w14:paraId="3CB253EA" w14:textId="4C72F1E1" w:rsidR="00C9572F" w:rsidRPr="00C9572F" w:rsidRDefault="00C9572F" w:rsidP="007374CF">
      <w:pPr>
        <w:widowControl w:val="0"/>
        <w:bidi/>
        <w:spacing w:after="0" w:line="252" w:lineRule="auto"/>
        <w:ind w:firstLine="284"/>
        <w:jc w:val="both"/>
        <w:rPr>
          <w:rFonts w:cs="Abz-2 (Badr)"/>
          <w:sz w:val="28"/>
          <w:szCs w:val="28"/>
        </w:rPr>
      </w:pPr>
      <w:r>
        <w:rPr>
          <w:rFonts w:cs="Abz-2 (Badr)" w:hint="cs"/>
          <w:sz w:val="28"/>
          <w:szCs w:val="28"/>
          <w:rtl/>
        </w:rPr>
        <w:t xml:space="preserve">اما در آنجا گفتيم که </w:t>
      </w:r>
      <w:r w:rsidRPr="00C9572F">
        <w:rPr>
          <w:rFonts w:cs="Abz-2 (Badr)" w:hint="cs"/>
          <w:sz w:val="28"/>
          <w:szCs w:val="28"/>
          <w:rtl/>
          <w:lang w:bidi="fa-IR"/>
        </w:rPr>
        <w:t xml:space="preserve">وجه تقييد حق فسخ به فوريت، </w:t>
      </w:r>
      <w:r>
        <w:rPr>
          <w:rFonts w:cs="Abz-2 (Badr)" w:hint="cs"/>
          <w:sz w:val="28"/>
          <w:szCs w:val="28"/>
          <w:rtl/>
          <w:lang w:bidi="fa-IR"/>
        </w:rPr>
        <w:t>اين است</w:t>
      </w:r>
      <w:r w:rsidRPr="00C9572F">
        <w:rPr>
          <w:rFonts w:cs="Abz-2 (Badr)" w:hint="cs"/>
          <w:sz w:val="28"/>
          <w:szCs w:val="28"/>
          <w:rtl/>
          <w:lang w:bidi="fa-IR"/>
        </w:rPr>
        <w:t xml:space="preserve"> که تأخير در فسخ، عرفا دلالت بر رضايت به عقد دارد و بعد از رضايت، فسخ عقد ممکن نيست.</w:t>
      </w:r>
    </w:p>
    <w:p w14:paraId="204A0B68" w14:textId="640B4D88" w:rsidR="00C9572F" w:rsidRPr="00C9572F" w:rsidRDefault="00C9572F" w:rsidP="007374CF">
      <w:pPr>
        <w:widowControl w:val="0"/>
        <w:bidi/>
        <w:spacing w:after="0" w:line="252" w:lineRule="auto"/>
        <w:ind w:firstLine="284"/>
        <w:jc w:val="both"/>
        <w:rPr>
          <w:rFonts w:cs="Abz-2 (Badr)"/>
          <w:sz w:val="28"/>
          <w:szCs w:val="28"/>
        </w:rPr>
      </w:pPr>
      <w:r>
        <w:rPr>
          <w:rFonts w:cs="Abz-2 (Badr)" w:hint="cs"/>
          <w:sz w:val="28"/>
          <w:szCs w:val="28"/>
          <w:rtl/>
          <w:lang w:bidi="fa-IR"/>
        </w:rPr>
        <w:t>در</w:t>
      </w:r>
      <w:r w:rsidRPr="00C9572F">
        <w:rPr>
          <w:rFonts w:cs="Abz-2 (Badr)" w:hint="cs"/>
          <w:sz w:val="28"/>
          <w:szCs w:val="28"/>
          <w:rtl/>
          <w:lang w:bidi="fa-IR"/>
        </w:rPr>
        <w:t xml:space="preserve"> نتيجه قيد فوريت، مربوط به مقام اثبات </w:t>
      </w:r>
      <w:r>
        <w:rPr>
          <w:rFonts w:cs="Abz-2 (Badr)" w:hint="cs"/>
          <w:sz w:val="28"/>
          <w:szCs w:val="28"/>
          <w:rtl/>
          <w:lang w:bidi="fa-IR"/>
        </w:rPr>
        <w:t>است</w:t>
      </w:r>
      <w:r w:rsidRPr="00C9572F">
        <w:rPr>
          <w:rFonts w:cs="Abz-2 (Badr)" w:hint="cs"/>
          <w:sz w:val="28"/>
          <w:szCs w:val="28"/>
          <w:rtl/>
          <w:lang w:bidi="fa-IR"/>
        </w:rPr>
        <w:t xml:space="preserve"> نه ثبوت، بدين معنا که در مقام اثبات کسی که مراعات فوريت در فسخ نکاح را نکرده است، بايد اثبات کند که اين مطلب ناشی از رضايت او به نکاح نبوده است که در اين صورت عدم مراعات قيد، موجب حکم به فساد فسخ نخواهد بود.</w:t>
      </w:r>
    </w:p>
    <w:p w14:paraId="60141E9A" w14:textId="0744A64B" w:rsidR="00C9572F" w:rsidRDefault="00C9572F" w:rsidP="007374CF">
      <w:pPr>
        <w:widowControl w:val="0"/>
        <w:bidi/>
        <w:spacing w:line="252" w:lineRule="auto"/>
        <w:ind w:firstLine="284"/>
        <w:jc w:val="both"/>
        <w:rPr>
          <w:rFonts w:cs="Abz-2 (Badr)"/>
          <w:sz w:val="28"/>
          <w:szCs w:val="28"/>
          <w:rtl/>
          <w:lang w:bidi="fa-IR"/>
        </w:rPr>
      </w:pPr>
      <w:r>
        <w:rPr>
          <w:rFonts w:cs="Abz-2 (Badr)" w:hint="cs"/>
          <w:sz w:val="28"/>
          <w:szCs w:val="28"/>
          <w:rtl/>
          <w:lang w:bidi="fa-IR"/>
        </w:rPr>
        <w:t>بنابر اين</w:t>
      </w:r>
      <w:r w:rsidRPr="00C9572F">
        <w:rPr>
          <w:rFonts w:cs="Abz-2 (Badr)" w:hint="cs"/>
          <w:sz w:val="28"/>
          <w:szCs w:val="28"/>
          <w:rtl/>
          <w:lang w:bidi="fa-IR"/>
        </w:rPr>
        <w:t xml:space="preserve"> اگر اثبات شود که کسی علم به حق فسخ و يا فوريت اعمال آن نداشته است و يا اين که به جهتی که در نزد عرف مقبول است ـ مثل تأمل در عواقب فسخ نکاح ـ اعمال حق خود را به تأخير انداخته است، اين مطلب</w:t>
      </w:r>
      <w:r>
        <w:rPr>
          <w:rFonts w:cs="Abz-2 (Badr)" w:hint="cs"/>
          <w:sz w:val="28"/>
          <w:szCs w:val="28"/>
          <w:rtl/>
        </w:rPr>
        <w:t xml:space="preserve"> </w:t>
      </w:r>
      <w:r w:rsidRPr="00C9572F">
        <w:rPr>
          <w:rFonts w:cs="Abz-2 (Badr)" w:hint="cs"/>
          <w:sz w:val="28"/>
          <w:szCs w:val="28"/>
          <w:rtl/>
          <w:lang w:bidi="fa-IR"/>
        </w:rPr>
        <w:t>سبب انتفای حق او برای فسخ نکاح نخواهد بود.</w:t>
      </w:r>
    </w:p>
    <w:p w14:paraId="6FAC337B" w14:textId="77777777" w:rsidR="007374CF" w:rsidRPr="00C9572F" w:rsidRDefault="007374CF" w:rsidP="007374CF">
      <w:pPr>
        <w:widowControl w:val="0"/>
        <w:bidi/>
        <w:spacing w:line="252" w:lineRule="auto"/>
        <w:ind w:firstLine="284"/>
        <w:jc w:val="both"/>
        <w:rPr>
          <w:rFonts w:cs="Abz-2 (Badr)"/>
          <w:sz w:val="28"/>
          <w:szCs w:val="28"/>
        </w:rPr>
      </w:pPr>
    </w:p>
    <w:p w14:paraId="10CD7C7A" w14:textId="629FC528" w:rsidR="00C9572F" w:rsidRDefault="007374CF" w:rsidP="00C9572F">
      <w:pPr>
        <w:widowControl w:val="0"/>
        <w:bidi/>
        <w:spacing w:after="0"/>
        <w:ind w:firstLine="284"/>
        <w:jc w:val="both"/>
        <w:rPr>
          <w:rFonts w:cs="Abz-2 (Badr)"/>
          <w:sz w:val="28"/>
          <w:szCs w:val="28"/>
          <w:rtl/>
        </w:rPr>
      </w:pPr>
      <w:r>
        <w:rPr>
          <w:rFonts w:cs="Abz-2 (Badr)" w:hint="cs"/>
          <w:sz w:val="28"/>
          <w:szCs w:val="28"/>
          <w:rtl/>
        </w:rPr>
        <w:t>البته صاحب جواهر استدلال ديگری برای عدم وجوب فوريت در مرافعه ولو بنابر قول به وجوب آن در اعمال حق خيار ذکر می</w:t>
      </w:r>
      <w:r>
        <w:rPr>
          <w:rFonts w:cs="Abz-2 (Badr)"/>
          <w:sz w:val="28"/>
          <w:szCs w:val="28"/>
        </w:rPr>
        <w:t>‎</w:t>
      </w:r>
      <w:r>
        <w:rPr>
          <w:rFonts w:cs="Abz-2 (Badr)" w:hint="cs"/>
          <w:sz w:val="28"/>
          <w:szCs w:val="28"/>
          <w:rtl/>
        </w:rPr>
        <w:t>کند و می</w:t>
      </w:r>
      <w:r>
        <w:rPr>
          <w:rFonts w:cs="Abz-2 (Badr)"/>
          <w:sz w:val="28"/>
          <w:szCs w:val="28"/>
          <w:rtl/>
        </w:rPr>
        <w:softHyphen/>
      </w:r>
      <w:r>
        <w:rPr>
          <w:rFonts w:cs="Abz-2 (Badr)" w:hint="cs"/>
          <w:sz w:val="28"/>
          <w:szCs w:val="28"/>
          <w:rtl/>
        </w:rPr>
        <w:t>فرمايد: بين مرافعه و خيار تفاوت وجود دارد، به همين جهت در خيار تراخی حتی با وجود توافق طرفين جايز نيست در حالی که در مرافعه ممکن است.</w:t>
      </w:r>
      <w:r w:rsidR="00F46E3E" w:rsidRPr="002D27AB">
        <w:rPr>
          <w:rStyle w:val="FootnoteReference"/>
          <w:rFonts w:cs="Abz-2 (Badr)"/>
          <w:sz w:val="28"/>
          <w:szCs w:val="28"/>
          <w:rtl/>
          <w:lang w:bidi="fa-IR"/>
        </w:rPr>
        <w:footnoteReference w:id="11"/>
      </w:r>
    </w:p>
    <w:p w14:paraId="147B2944" w14:textId="682C5424" w:rsidR="00C8378C" w:rsidRPr="00C9572F" w:rsidRDefault="007374CF" w:rsidP="00487869">
      <w:pPr>
        <w:widowControl w:val="0"/>
        <w:bidi/>
        <w:spacing w:after="0"/>
        <w:ind w:firstLine="284"/>
        <w:jc w:val="both"/>
        <w:rPr>
          <w:rFonts w:cs="Abz-2 (Badr)"/>
          <w:sz w:val="28"/>
          <w:szCs w:val="28"/>
        </w:rPr>
      </w:pPr>
      <w:r>
        <w:rPr>
          <w:rFonts w:cs="Abz-2 (Badr)" w:hint="cs"/>
          <w:sz w:val="28"/>
          <w:szCs w:val="28"/>
          <w:rtl/>
        </w:rPr>
        <w:t>اما اشکال اين مطلب واضح است، زيرا ـ همان گونه که خود ايشان نيز در ادامه می</w:t>
      </w:r>
      <w:r>
        <w:rPr>
          <w:rFonts w:cs="Abz-2 (Badr)"/>
          <w:sz w:val="28"/>
          <w:szCs w:val="28"/>
          <w:rtl/>
        </w:rPr>
        <w:softHyphen/>
      </w:r>
      <w:r>
        <w:rPr>
          <w:rFonts w:cs="Abz-2 (Badr)" w:hint="cs"/>
          <w:sz w:val="28"/>
          <w:szCs w:val="28"/>
          <w:rtl/>
        </w:rPr>
        <w:t xml:space="preserve">فرمايند ـ جواز تأخير در مرافعه در موارد ديگر ملازمه با جواز تأخير آن در ما نحن فيه بنابر اشتراط فوريّت در اخذ به خيار ندارد، زيرا </w:t>
      </w:r>
      <w:r w:rsidR="00A96A24">
        <w:rPr>
          <w:rFonts w:cs="Abz-2 (Badr)" w:hint="cs"/>
          <w:sz w:val="28"/>
          <w:szCs w:val="28"/>
          <w:rtl/>
        </w:rPr>
        <w:t>فوريّت در ذی</w:t>
      </w:r>
      <w:r w:rsidR="00A96A24">
        <w:rPr>
          <w:rFonts w:cs="Abz-2 (Badr)"/>
          <w:sz w:val="28"/>
          <w:szCs w:val="28"/>
          <w:rtl/>
        </w:rPr>
        <w:softHyphen/>
      </w:r>
      <w:r w:rsidR="00A96A24">
        <w:rPr>
          <w:rFonts w:cs="Abz-2 (Badr)" w:hint="cs"/>
          <w:sz w:val="28"/>
          <w:szCs w:val="28"/>
          <w:rtl/>
        </w:rPr>
        <w:t>المقدمه سبب فوريّت در مقدمه می</w:t>
      </w:r>
      <w:r w:rsidR="00A96A24">
        <w:rPr>
          <w:rFonts w:cs="Abz-2 (Badr)"/>
          <w:sz w:val="28"/>
          <w:szCs w:val="28"/>
          <w:rtl/>
        </w:rPr>
        <w:softHyphen/>
      </w:r>
      <w:r w:rsidR="00A96A24">
        <w:rPr>
          <w:rFonts w:cs="Abz-2 (Badr)" w:hint="cs"/>
          <w:sz w:val="28"/>
          <w:szCs w:val="28"/>
          <w:rtl/>
        </w:rPr>
        <w:t>گردد.</w:t>
      </w:r>
    </w:p>
    <w:sectPr w:rsidR="00C8378C" w:rsidRPr="00C9572F">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39E595EC" w14:textId="3BDF9ACC" w:rsidR="00F71127" w:rsidRPr="002D27AB" w:rsidRDefault="00F71127" w:rsidP="00D22A7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00D22A70" w:rsidRPr="002D27AB">
        <w:rPr>
          <w:rFonts w:cs="Abz-2 (Badr)" w:hint="cs"/>
          <w:sz w:val="22"/>
          <w:szCs w:val="22"/>
          <w:rtl/>
        </w:rPr>
        <w:t>ـ شرائع،ج2،ص265.</w:t>
      </w:r>
    </w:p>
  </w:footnote>
  <w:footnote w:id="2">
    <w:p w14:paraId="4792194A" w14:textId="5F1AC336" w:rsidR="00D22A70" w:rsidRPr="002D27AB" w:rsidRDefault="00D22A70" w:rsidP="00D22A70">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ـ مبسوط،ج4،ص264.</w:t>
      </w:r>
    </w:p>
  </w:footnote>
  <w:footnote w:id="3">
    <w:p w14:paraId="5CDF7DBF" w14:textId="6F43377D" w:rsidR="002D27AB" w:rsidRPr="002D27AB" w:rsidRDefault="002D27AB" w:rsidP="002D27A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ـ تهذ</w:t>
      </w:r>
      <w:r>
        <w:rPr>
          <w:rFonts w:cs="Abz-2 (Badr)" w:hint="cs"/>
          <w:sz w:val="22"/>
          <w:szCs w:val="22"/>
          <w:rtl/>
        </w:rPr>
        <w:t>ي</w:t>
      </w:r>
      <w:r w:rsidRPr="002D27AB">
        <w:rPr>
          <w:rFonts w:cs="Abz-2 (Badr)" w:hint="cs"/>
          <w:sz w:val="22"/>
          <w:szCs w:val="22"/>
          <w:rtl/>
        </w:rPr>
        <w:t>ب،ج6،ص431،ح1719</w:t>
      </w:r>
      <w:r>
        <w:rPr>
          <w:rFonts w:cs="Abz-2 (Badr)" w:hint="cs"/>
          <w:sz w:val="22"/>
          <w:szCs w:val="22"/>
          <w:rtl/>
        </w:rPr>
        <w:t xml:space="preserve"> ـ وسائل،ج21،ص232،ح26969</w:t>
      </w:r>
      <w:r w:rsidRPr="002D27AB">
        <w:rPr>
          <w:rFonts w:cs="Abz-2 (Badr)" w:hint="cs"/>
          <w:sz w:val="22"/>
          <w:szCs w:val="22"/>
          <w:rtl/>
        </w:rPr>
        <w:t>.</w:t>
      </w:r>
    </w:p>
  </w:footnote>
  <w:footnote w:id="4">
    <w:p w14:paraId="2238F452" w14:textId="1DC59AE4" w:rsidR="002D27AB" w:rsidRPr="002D27AB" w:rsidRDefault="002D27AB" w:rsidP="002D27AB">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ـ فقيه،ج3،ص551،ح4898</w:t>
      </w:r>
      <w:r>
        <w:rPr>
          <w:rFonts w:cs="Abz-2 (Badr)" w:hint="cs"/>
          <w:sz w:val="22"/>
          <w:szCs w:val="22"/>
          <w:rtl/>
        </w:rPr>
        <w:t xml:space="preserve"> ـ وسائل،ج21،ص232،ح26970</w:t>
      </w:r>
      <w:r w:rsidRPr="002D27AB">
        <w:rPr>
          <w:rFonts w:cs="Abz-2 (Badr)" w:hint="cs"/>
          <w:sz w:val="22"/>
          <w:szCs w:val="22"/>
          <w:rtl/>
        </w:rPr>
        <w:t>.</w:t>
      </w:r>
    </w:p>
  </w:footnote>
  <w:footnote w:id="5">
    <w:p w14:paraId="7224BCED" w14:textId="6DBD652C" w:rsidR="00CD52E6" w:rsidRPr="002D27AB" w:rsidRDefault="00CD52E6" w:rsidP="00CD52E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ـ مبسوط،ج4،ص264</w:t>
      </w:r>
      <w:r>
        <w:rPr>
          <w:rFonts w:cs="Abz-2 (Badr)" w:hint="cs"/>
          <w:sz w:val="22"/>
          <w:szCs w:val="22"/>
          <w:rtl/>
        </w:rPr>
        <w:t xml:space="preserve"> و 265</w:t>
      </w:r>
      <w:r w:rsidRPr="002D27AB">
        <w:rPr>
          <w:rFonts w:cs="Abz-2 (Badr)" w:hint="cs"/>
          <w:sz w:val="22"/>
          <w:szCs w:val="22"/>
          <w:rtl/>
        </w:rPr>
        <w:t>.</w:t>
      </w:r>
    </w:p>
  </w:footnote>
  <w:footnote w:id="6">
    <w:p w14:paraId="3785DA5C" w14:textId="2E00A987" w:rsidR="00CD52E6" w:rsidRPr="002D27AB" w:rsidRDefault="00CD52E6" w:rsidP="00CD52E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w:t>
      </w:r>
      <w:r w:rsidRPr="002D27AB">
        <w:rPr>
          <w:rFonts w:cs="Abz-2 (Badr)" w:hint="cs"/>
          <w:sz w:val="22"/>
          <w:szCs w:val="22"/>
          <w:rtl/>
        </w:rPr>
        <w:t>،ج</w:t>
      </w:r>
      <w:r>
        <w:rPr>
          <w:rFonts w:cs="Abz-2 (Badr)" w:hint="cs"/>
          <w:sz w:val="22"/>
          <w:szCs w:val="22"/>
          <w:rtl/>
        </w:rPr>
        <w:t>31</w:t>
      </w:r>
      <w:r w:rsidRPr="002D27AB">
        <w:rPr>
          <w:rFonts w:cs="Abz-2 (Badr)" w:hint="cs"/>
          <w:sz w:val="22"/>
          <w:szCs w:val="22"/>
          <w:rtl/>
        </w:rPr>
        <w:t>،ص</w:t>
      </w:r>
      <w:r>
        <w:rPr>
          <w:rFonts w:cs="Abz-2 (Badr)" w:hint="cs"/>
          <w:sz w:val="22"/>
          <w:szCs w:val="22"/>
          <w:rtl/>
        </w:rPr>
        <w:t>637</w:t>
      </w:r>
      <w:r w:rsidRPr="002D27AB">
        <w:rPr>
          <w:rFonts w:cs="Abz-2 (Badr)" w:hint="cs"/>
          <w:sz w:val="22"/>
          <w:szCs w:val="22"/>
          <w:rtl/>
        </w:rPr>
        <w:t>.</w:t>
      </w:r>
    </w:p>
  </w:footnote>
  <w:footnote w:id="7">
    <w:p w14:paraId="16BFE1B3" w14:textId="7DCCED30" w:rsidR="00CD52E6" w:rsidRPr="002D27AB" w:rsidRDefault="00CD52E6" w:rsidP="00CD52E6">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مغني ابن قدامة</w:t>
      </w:r>
      <w:r w:rsidRPr="002D27AB">
        <w:rPr>
          <w:rFonts w:cs="Abz-2 (Badr)" w:hint="cs"/>
          <w:sz w:val="22"/>
          <w:szCs w:val="22"/>
          <w:rtl/>
        </w:rPr>
        <w:t>،ج</w:t>
      </w:r>
      <w:r>
        <w:rPr>
          <w:rFonts w:cs="Abz-2 (Badr)" w:hint="cs"/>
          <w:sz w:val="22"/>
          <w:szCs w:val="22"/>
          <w:rtl/>
        </w:rPr>
        <w:t>7</w:t>
      </w:r>
      <w:r w:rsidRPr="002D27AB">
        <w:rPr>
          <w:rFonts w:cs="Abz-2 (Badr)" w:hint="cs"/>
          <w:sz w:val="22"/>
          <w:szCs w:val="22"/>
          <w:rtl/>
        </w:rPr>
        <w:t>،ص</w:t>
      </w:r>
      <w:r>
        <w:rPr>
          <w:rFonts w:cs="Abz-2 (Badr)" w:hint="cs"/>
          <w:sz w:val="22"/>
          <w:szCs w:val="22"/>
          <w:rtl/>
        </w:rPr>
        <w:t>203</w:t>
      </w:r>
      <w:r w:rsidRPr="002D27AB">
        <w:rPr>
          <w:rFonts w:cs="Abz-2 (Badr)" w:hint="cs"/>
          <w:sz w:val="22"/>
          <w:szCs w:val="22"/>
          <w:rtl/>
        </w:rPr>
        <w:t>.</w:t>
      </w:r>
    </w:p>
  </w:footnote>
  <w:footnote w:id="8">
    <w:p w14:paraId="759FC041" w14:textId="36F314B6" w:rsidR="0060689C" w:rsidRPr="002D27AB" w:rsidRDefault="0060689C" w:rsidP="0060689C">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w:t>
      </w:r>
      <w:r w:rsidRPr="002D27AB">
        <w:rPr>
          <w:rFonts w:cs="Abz-2 (Badr)" w:hint="cs"/>
          <w:sz w:val="22"/>
          <w:szCs w:val="22"/>
          <w:rtl/>
        </w:rPr>
        <w:t>،</w:t>
      </w:r>
      <w:r>
        <w:rPr>
          <w:rFonts w:cs="Abz-2 (Badr)" w:hint="cs"/>
          <w:sz w:val="22"/>
          <w:szCs w:val="22"/>
          <w:rtl/>
        </w:rPr>
        <w:t xml:space="preserve"> همان</w:t>
      </w:r>
      <w:r w:rsidRPr="002D27AB">
        <w:rPr>
          <w:rFonts w:cs="Abz-2 (Badr)" w:hint="cs"/>
          <w:sz w:val="22"/>
          <w:szCs w:val="22"/>
          <w:rtl/>
        </w:rPr>
        <w:t>.</w:t>
      </w:r>
    </w:p>
  </w:footnote>
  <w:footnote w:id="9">
    <w:p w14:paraId="350A25A6" w14:textId="02A83438" w:rsidR="00331A5F" w:rsidRPr="002D27AB" w:rsidRDefault="00331A5F" w:rsidP="00331A5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w:t>
      </w:r>
      <w:r>
        <w:rPr>
          <w:rFonts w:cs="Abz-2 (Badr)" w:hint="cs"/>
          <w:sz w:val="22"/>
          <w:szCs w:val="22"/>
          <w:rtl/>
          <w:lang w:bidi="fa-IR"/>
        </w:rPr>
        <w:t>،ج8،ص138</w:t>
      </w:r>
      <w:r w:rsidRPr="002D27AB">
        <w:rPr>
          <w:rFonts w:cs="Abz-2 (Badr)" w:hint="cs"/>
          <w:sz w:val="22"/>
          <w:szCs w:val="22"/>
          <w:rtl/>
        </w:rPr>
        <w:t>.</w:t>
      </w:r>
    </w:p>
  </w:footnote>
  <w:footnote w:id="10">
    <w:p w14:paraId="47299741" w14:textId="3AFF8011" w:rsidR="00331A5F" w:rsidRPr="002D27AB" w:rsidRDefault="00331A5F" w:rsidP="00331A5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رياض</w:t>
      </w:r>
      <w:r>
        <w:rPr>
          <w:rFonts w:cs="Abz-2 (Badr)" w:hint="cs"/>
          <w:sz w:val="22"/>
          <w:szCs w:val="22"/>
          <w:rtl/>
          <w:lang w:bidi="fa-IR"/>
        </w:rPr>
        <w:t>،ج11،ص472 و 473</w:t>
      </w:r>
      <w:r w:rsidRPr="002D27AB">
        <w:rPr>
          <w:rFonts w:cs="Abz-2 (Badr)" w:hint="cs"/>
          <w:sz w:val="22"/>
          <w:szCs w:val="22"/>
          <w:rtl/>
        </w:rPr>
        <w:t>.</w:t>
      </w:r>
    </w:p>
  </w:footnote>
  <w:footnote w:id="11">
    <w:p w14:paraId="588640D0" w14:textId="527C9BE6" w:rsidR="00F46E3E" w:rsidRPr="002D27AB" w:rsidRDefault="00F46E3E" w:rsidP="00F46E3E">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جواهر</w:t>
      </w:r>
      <w:r w:rsidRPr="002D27AB">
        <w:rPr>
          <w:rFonts w:cs="Abz-2 (Badr)" w:hint="cs"/>
          <w:sz w:val="22"/>
          <w:szCs w:val="22"/>
          <w:rtl/>
        </w:rPr>
        <w:t>،</w:t>
      </w:r>
      <w:r>
        <w:rPr>
          <w:rFonts w:cs="Abz-2 (Badr)" w:hint="cs"/>
          <w:sz w:val="22"/>
          <w:szCs w:val="22"/>
          <w:rtl/>
        </w:rPr>
        <w:t xml:space="preserve"> همان،ص638</w:t>
      </w:r>
      <w:r w:rsidRPr="002D27AB">
        <w:rPr>
          <w:rFonts w:cs="Abz-2 (Badr)"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101B80"/>
    <w:rsid w:val="001050A2"/>
    <w:rsid w:val="0029688A"/>
    <w:rsid w:val="002D27AB"/>
    <w:rsid w:val="00331A5F"/>
    <w:rsid w:val="003A199D"/>
    <w:rsid w:val="00487869"/>
    <w:rsid w:val="005532E0"/>
    <w:rsid w:val="0060689C"/>
    <w:rsid w:val="00703021"/>
    <w:rsid w:val="007374CF"/>
    <w:rsid w:val="008869B4"/>
    <w:rsid w:val="008F3842"/>
    <w:rsid w:val="00A62A68"/>
    <w:rsid w:val="00A96A24"/>
    <w:rsid w:val="00C8378C"/>
    <w:rsid w:val="00C9572F"/>
    <w:rsid w:val="00CD52E6"/>
    <w:rsid w:val="00D22A70"/>
    <w:rsid w:val="00E214D7"/>
    <w:rsid w:val="00E6533A"/>
    <w:rsid w:val="00EE25C0"/>
    <w:rsid w:val="00F46AE2"/>
    <w:rsid w:val="00F46E3E"/>
    <w:rsid w:val="00F711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16</cp:revision>
  <dcterms:created xsi:type="dcterms:W3CDTF">2022-09-30T09:35:00Z</dcterms:created>
  <dcterms:modified xsi:type="dcterms:W3CDTF">2022-10-01T06:41:00Z</dcterms:modified>
</cp:coreProperties>
</file>