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255EB" w14:textId="556E6118" w:rsidR="00C6283F" w:rsidRPr="009430B7" w:rsidRDefault="00FC0E22" w:rsidP="00AB63A7">
      <w:pPr>
        <w:tabs>
          <w:tab w:val="right" w:pos="0"/>
        </w:tabs>
        <w:bidi/>
        <w:spacing w:line="360" w:lineRule="auto"/>
        <w:jc w:val="center"/>
        <w:rPr>
          <w:rFonts w:cs="B Mitra"/>
          <w:sz w:val="28"/>
          <w:szCs w:val="28"/>
          <w:lang w:bidi="fa-IR"/>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w:t>
      </w:r>
      <w:r w:rsidR="00AC673B">
        <w:rPr>
          <w:rFonts w:cs="B Jadid" w:hint="cs"/>
          <w:sz w:val="28"/>
          <w:szCs w:val="28"/>
          <w:rtl/>
          <w:lang w:bidi="fa-IR"/>
        </w:rPr>
        <w:t>شتاد</w:t>
      </w:r>
      <w:r w:rsidR="00822D58">
        <w:rPr>
          <w:rFonts w:cs="B Jadid" w:hint="cs"/>
          <w:sz w:val="28"/>
          <w:szCs w:val="28"/>
          <w:rtl/>
          <w:lang w:bidi="fa-IR"/>
        </w:rPr>
        <w:t xml:space="preserve"> و </w:t>
      </w:r>
      <w:r w:rsidR="00AB63A7">
        <w:rPr>
          <w:rFonts w:cs="B Jadid" w:hint="cs"/>
          <w:sz w:val="28"/>
          <w:szCs w:val="28"/>
          <w:rtl/>
          <w:lang w:bidi="fa-IR"/>
        </w:rPr>
        <w:t>پنجم</w:t>
      </w:r>
      <w:r w:rsidR="005F7E7F">
        <w:rPr>
          <w:rFonts w:cs="B Jadid" w:hint="cs"/>
          <w:sz w:val="28"/>
          <w:szCs w:val="28"/>
          <w:rtl/>
          <w:lang w:bidi="fa-IR"/>
        </w:rPr>
        <w:t xml:space="preserve"> </w:t>
      </w:r>
      <w:r w:rsidR="00822D58">
        <w:rPr>
          <w:rFonts w:cs="B Jadid" w:hint="cs"/>
          <w:sz w:val="28"/>
          <w:szCs w:val="28"/>
          <w:rtl/>
          <w:lang w:bidi="fa-IR"/>
        </w:rPr>
        <w:t xml:space="preserve"> </w:t>
      </w:r>
      <w:r w:rsidR="00AB63A7">
        <w:rPr>
          <w:rFonts w:cs="B Jadid" w:hint="cs"/>
          <w:sz w:val="28"/>
          <w:szCs w:val="28"/>
          <w:rtl/>
          <w:lang w:bidi="fa-IR"/>
        </w:rPr>
        <w:t>چهار</w:t>
      </w:r>
      <w:r w:rsidR="009430B7">
        <w:rPr>
          <w:rFonts w:cs="B Jadid" w:hint="cs"/>
          <w:sz w:val="28"/>
          <w:szCs w:val="28"/>
          <w:rtl/>
          <w:lang w:bidi="fa-IR"/>
        </w:rPr>
        <w:t>شنبه</w:t>
      </w:r>
      <w:r w:rsidR="003B67DA">
        <w:rPr>
          <w:rFonts w:cs="B Jadid" w:hint="cs"/>
          <w:sz w:val="28"/>
          <w:szCs w:val="28"/>
          <w:rtl/>
          <w:lang w:bidi="fa-IR"/>
        </w:rPr>
        <w:t xml:space="preserve">   </w:t>
      </w:r>
      <w:r w:rsidR="009430B7">
        <w:rPr>
          <w:rFonts w:cs="B Jadid" w:hint="cs"/>
          <w:sz w:val="28"/>
          <w:szCs w:val="28"/>
          <w:rtl/>
          <w:lang w:bidi="fa-IR"/>
        </w:rPr>
        <w:t>1</w:t>
      </w:r>
      <w:r w:rsidR="00AB63A7">
        <w:rPr>
          <w:rFonts w:cs="B Jadid" w:hint="cs"/>
          <w:sz w:val="28"/>
          <w:szCs w:val="28"/>
          <w:rtl/>
          <w:lang w:bidi="fa-IR"/>
        </w:rPr>
        <w:t>1</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4E328161" w14:textId="2E56DA89" w:rsidR="00C6283F" w:rsidRPr="00C6283F" w:rsidRDefault="00C6283F" w:rsidP="00AB63A7">
      <w:pPr>
        <w:tabs>
          <w:tab w:val="right" w:pos="0"/>
        </w:tabs>
        <w:bidi/>
        <w:spacing w:line="360" w:lineRule="auto"/>
        <w:jc w:val="both"/>
        <w:rPr>
          <w:rFonts w:cs="B Mitra"/>
          <w:sz w:val="28"/>
          <w:szCs w:val="28"/>
          <w:lang w:bidi="fa-IR"/>
        </w:rPr>
      </w:pPr>
    </w:p>
    <w:p w14:paraId="0415F402" w14:textId="77777777" w:rsidR="00AB63A7" w:rsidRPr="00AB63A7" w:rsidRDefault="00AB63A7" w:rsidP="00AB63A7">
      <w:pPr>
        <w:tabs>
          <w:tab w:val="right" w:pos="0"/>
        </w:tabs>
        <w:bidi/>
        <w:spacing w:line="360" w:lineRule="auto"/>
        <w:jc w:val="both"/>
        <w:rPr>
          <w:rFonts w:cs="B Mitra"/>
          <w:sz w:val="28"/>
          <w:szCs w:val="28"/>
        </w:rPr>
      </w:pPr>
      <w:r w:rsidRPr="00AB63A7">
        <w:rPr>
          <w:rFonts w:cs="B Mitra"/>
          <w:sz w:val="28"/>
          <w:szCs w:val="28"/>
          <w:rtl/>
          <w:lang w:bidi="fa-IR"/>
        </w:rPr>
        <w:t>دليل ديگری که می</w:t>
      </w:r>
      <w:r w:rsidRPr="00AB63A7">
        <w:rPr>
          <w:rFonts w:cs="B Mitra"/>
          <w:sz w:val="28"/>
          <w:szCs w:val="28"/>
          <w:cs/>
          <w:lang w:bidi="fa-IR"/>
        </w:rPr>
        <w:t>‎</w:t>
      </w:r>
      <w:r w:rsidRPr="00AB63A7">
        <w:rPr>
          <w:rFonts w:cs="B Mitra"/>
          <w:sz w:val="28"/>
          <w:szCs w:val="28"/>
          <w:rtl/>
          <w:lang w:bidi="fa-IR"/>
        </w:rPr>
        <w:t>توان به آن در خصوص لزوم وطی زوجه برای انتفاء حق او برای فسخ نکاح استناد نمود، روايی ذيل است:</w:t>
      </w:r>
    </w:p>
    <w:p w14:paraId="593E9F2E" w14:textId="77777777" w:rsidR="00AB63A7" w:rsidRPr="00AB63A7" w:rsidRDefault="00AB63A7" w:rsidP="00AB63A7">
      <w:pPr>
        <w:tabs>
          <w:tab w:val="right" w:pos="0"/>
        </w:tabs>
        <w:bidi/>
        <w:spacing w:line="360" w:lineRule="auto"/>
        <w:jc w:val="both"/>
        <w:rPr>
          <w:rFonts w:cs="B Mitra"/>
          <w:sz w:val="28"/>
          <w:szCs w:val="28"/>
        </w:rPr>
      </w:pPr>
      <w:r w:rsidRPr="00AB63A7">
        <w:rPr>
          <w:rFonts w:cs="B Mitra"/>
          <w:sz w:val="28"/>
          <w:szCs w:val="28"/>
          <w:rtl/>
          <w:lang w:bidi="fa-IR"/>
        </w:rPr>
        <w:t>صحيحة أبي حمزة، قال: «سمعت أبا جعفر(ع) يقول: إذا تزوّج الرجل المرأة الثيّب التي قد تزوّجت زوجاً غيره فزعمت أنّه لم يقربها منذ دخل بها، فإنّ القول في ذل</w:t>
      </w:r>
      <w:r w:rsidRPr="00AB63A7">
        <w:rPr>
          <w:rFonts w:cs="B Mitra"/>
          <w:sz w:val="28"/>
          <w:szCs w:val="28"/>
          <w:rtl/>
        </w:rPr>
        <w:t xml:space="preserve">ك </w:t>
      </w:r>
      <w:r w:rsidRPr="00AB63A7">
        <w:rPr>
          <w:rFonts w:cs="B Mitra"/>
          <w:sz w:val="28"/>
          <w:szCs w:val="28"/>
          <w:rtl/>
          <w:lang w:bidi="fa-IR"/>
        </w:rPr>
        <w:t>قول الرجل، وعليه أن يحلف بالله لقد جامعها، لأنّها المدّعيّة. قال: فإن تزوّجها وهي بکر فزعمت أنّه لم يصل إليها فإنّ مثل هذا يعرف النساء، فلينظر إليها من يوثق به منهنّ، فإذا ذکرت أنّها عذراء فعلی الإمام أن يؤجّله سنة، فإن وصل إليها وإلا فرّق بينهما، وأُعطيت نصف المهر، ولا عدّة عليها.»</w:t>
      </w:r>
    </w:p>
    <w:p w14:paraId="526D993A" w14:textId="77777777" w:rsidR="00AB63A7" w:rsidRPr="00AB63A7" w:rsidRDefault="00AB63A7" w:rsidP="00AB63A7">
      <w:pPr>
        <w:tabs>
          <w:tab w:val="right" w:pos="0"/>
        </w:tabs>
        <w:bidi/>
        <w:spacing w:line="360" w:lineRule="auto"/>
        <w:jc w:val="both"/>
        <w:rPr>
          <w:rFonts w:cs="B Mitra"/>
          <w:sz w:val="28"/>
          <w:szCs w:val="28"/>
        </w:rPr>
      </w:pPr>
      <w:r w:rsidRPr="00AB63A7">
        <w:rPr>
          <w:rFonts w:cs="B Mitra"/>
          <w:sz w:val="28"/>
          <w:szCs w:val="28"/>
          <w:rtl/>
          <w:lang w:bidi="fa-IR"/>
        </w:rPr>
        <w:t>فرع دوم: ادعای زوج در خصوص تحقّق وطی قبل از انقضاء اجل</w:t>
      </w:r>
    </w:p>
    <w:p w14:paraId="5D225066"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اگر پس از امهال، زوج ادعا کند که زوجه را در خلال مهلت داده شده وطی</w:t>
      </w:r>
      <w:r>
        <w:rPr>
          <w:rFonts w:cs="B Mitra" w:hint="cs"/>
          <w:sz w:val="28"/>
          <w:szCs w:val="28"/>
          <w:rtl/>
          <w:lang w:bidi="fa-IR"/>
        </w:rPr>
        <w:t xml:space="preserve"> </w:t>
      </w:r>
      <w:r w:rsidRPr="00AB63A7">
        <w:rPr>
          <w:rFonts w:cs="B Mitra"/>
          <w:sz w:val="28"/>
          <w:szCs w:val="28"/>
          <w:rtl/>
          <w:lang w:bidi="fa-IR"/>
        </w:rPr>
        <w:t>کرده است و زوجه انکار کند، زوج مدّعی خواهد بود ولی از آنجا که قامه بيّنه بر وطی ممکن نيست، قول زوج با قسم او مقدم می</w:t>
      </w:r>
      <w:r w:rsidRPr="00AB63A7">
        <w:rPr>
          <w:rFonts w:cs="B Mitra"/>
          <w:sz w:val="28"/>
          <w:szCs w:val="28"/>
          <w:cs/>
          <w:lang w:bidi="fa-IR"/>
        </w:rPr>
        <w:t>‎</w:t>
      </w:r>
      <w:r w:rsidRPr="00AB63A7">
        <w:rPr>
          <w:rFonts w:cs="B Mitra"/>
          <w:sz w:val="28"/>
          <w:szCs w:val="28"/>
          <w:rtl/>
          <w:lang w:bidi="fa-IR"/>
        </w:rPr>
        <w:t>گردد.</w:t>
      </w:r>
    </w:p>
    <w:p w14:paraId="08733838"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اما مضافاً بر دليل مذکور چند دليل ديگر نيز برای تقديم قول زوج ذکر شده است:</w:t>
      </w:r>
    </w:p>
    <w:p w14:paraId="474063AE"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1 ـ قبل از گذشت يک سال، عنن زوج ثابت نمی</w:t>
      </w:r>
      <w:r w:rsidRPr="00AB63A7">
        <w:rPr>
          <w:rFonts w:cs="B Mitra"/>
          <w:sz w:val="28"/>
          <w:szCs w:val="28"/>
          <w:cs/>
          <w:lang w:bidi="fa-IR"/>
        </w:rPr>
        <w:t>‎</w:t>
      </w:r>
      <w:r w:rsidRPr="00AB63A7">
        <w:rPr>
          <w:rFonts w:cs="B Mitra"/>
          <w:sz w:val="28"/>
          <w:szCs w:val="28"/>
          <w:rtl/>
          <w:lang w:bidi="fa-IR"/>
        </w:rPr>
        <w:t>گردد، بنابر اين بازگشت مدعای زوج به انکار زوجه است، و استصحاب عجزی که سابقاً ثابت شده بنابر اين که گذشت يک سال در اثبات عنن مدخليت داشته باشد، صلاحيت اثبات عنن را ندارد، زيرا اين استحصاب نمی</w:t>
      </w:r>
      <w:r w:rsidRPr="00AB63A7">
        <w:rPr>
          <w:rFonts w:cs="B Mitra"/>
          <w:sz w:val="28"/>
          <w:szCs w:val="28"/>
          <w:cs/>
          <w:lang w:bidi="fa-IR"/>
        </w:rPr>
        <w:t>‎</w:t>
      </w:r>
      <w:r w:rsidRPr="00AB63A7">
        <w:rPr>
          <w:rFonts w:cs="B Mitra"/>
          <w:sz w:val="28"/>
          <w:szCs w:val="28"/>
          <w:rtl/>
          <w:lang w:bidi="fa-IR"/>
        </w:rPr>
        <w:t>تواند اثبات کند که وطی محقق نشده است مگر به نحو مثبت.</w:t>
      </w:r>
    </w:p>
    <w:p w14:paraId="267CBC2A"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اشکال: اشکال اين مدعا بر اساس آنچه که در ابتدای بحث گذشت معلوم</w:t>
      </w:r>
      <w:r>
        <w:rPr>
          <w:rFonts w:cs="B Mitra" w:hint="cs"/>
          <w:sz w:val="28"/>
          <w:szCs w:val="28"/>
          <w:rtl/>
          <w:lang w:bidi="fa-IR"/>
        </w:rPr>
        <w:t xml:space="preserve"> </w:t>
      </w:r>
      <w:r w:rsidRPr="00AB63A7">
        <w:rPr>
          <w:rFonts w:cs="B Mitra"/>
          <w:sz w:val="28"/>
          <w:szCs w:val="28"/>
          <w:rtl/>
          <w:lang w:bidi="fa-IR"/>
        </w:rPr>
        <w:t>می</w:t>
      </w:r>
      <w:r w:rsidRPr="00AB63A7">
        <w:rPr>
          <w:rFonts w:cs="B Mitra"/>
          <w:sz w:val="28"/>
          <w:szCs w:val="28"/>
          <w:cs/>
          <w:lang w:bidi="fa-IR"/>
        </w:rPr>
        <w:t>‎</w:t>
      </w:r>
      <w:r w:rsidRPr="00AB63A7">
        <w:rPr>
          <w:rFonts w:cs="B Mitra"/>
          <w:sz w:val="28"/>
          <w:szCs w:val="28"/>
          <w:rtl/>
          <w:lang w:bidi="fa-IR"/>
        </w:rPr>
        <w:t>شود، زيرا گفته شد که امهال مدخليت در اثبات عنن ندارد، بلکه پس از اثبات عنن به زوج يک سال مهلت داده می</w:t>
      </w:r>
      <w:r w:rsidRPr="00AB63A7">
        <w:rPr>
          <w:rFonts w:cs="B Mitra"/>
          <w:sz w:val="28"/>
          <w:szCs w:val="28"/>
          <w:cs/>
          <w:lang w:bidi="fa-IR"/>
        </w:rPr>
        <w:t>‎</w:t>
      </w:r>
      <w:r w:rsidRPr="00AB63A7">
        <w:rPr>
          <w:rFonts w:cs="B Mitra"/>
          <w:sz w:val="28"/>
          <w:szCs w:val="28"/>
          <w:rtl/>
          <w:lang w:bidi="fa-IR"/>
        </w:rPr>
        <w:t>شود.</w:t>
      </w:r>
    </w:p>
    <w:p w14:paraId="1A4B6BA1"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دليل اين مطلب نيز مضافاً بر ظاهر اخبار، مطلبی است که در کلمات فقهاء آمده است مبنی بر اين که پس از اين که زوجه ادعای عنن زوج را نمود، حاکم با توجه به ادله حکم به عنن يا به عدم آن می</w:t>
      </w:r>
      <w:r w:rsidRPr="00AB63A7">
        <w:rPr>
          <w:rFonts w:cs="B Mitra"/>
          <w:sz w:val="28"/>
          <w:szCs w:val="28"/>
          <w:cs/>
          <w:lang w:bidi="fa-IR"/>
        </w:rPr>
        <w:t>‎</w:t>
      </w:r>
      <w:r w:rsidRPr="00AB63A7">
        <w:rPr>
          <w:rFonts w:cs="B Mitra"/>
          <w:sz w:val="28"/>
          <w:szCs w:val="28"/>
          <w:rtl/>
          <w:lang w:bidi="fa-IR"/>
        </w:rPr>
        <w:t>کند و سپس به زوج مهلت يک ساله می</w:t>
      </w:r>
      <w:r w:rsidRPr="00AB63A7">
        <w:rPr>
          <w:rFonts w:cs="B Mitra"/>
          <w:sz w:val="28"/>
          <w:szCs w:val="28"/>
          <w:cs/>
          <w:lang w:bidi="fa-IR"/>
        </w:rPr>
        <w:t>‎</w:t>
      </w:r>
      <w:r w:rsidRPr="00AB63A7">
        <w:rPr>
          <w:rFonts w:cs="B Mitra"/>
          <w:sz w:val="28"/>
          <w:szCs w:val="28"/>
          <w:rtl/>
          <w:lang w:bidi="fa-IR"/>
        </w:rPr>
        <w:t>دهد، و چنانچه در آن دعوا عنن زوج ثابت نگردد، وجهی برای امهال وی وجود نخواهد داشت.</w:t>
      </w:r>
    </w:p>
    <w:p w14:paraId="690CB1A1"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lastRenderedPageBreak/>
        <w:t>2 ـ در تعيين مدعی يکی از ملاک</w:t>
      </w:r>
      <w:r w:rsidRPr="00AB63A7">
        <w:rPr>
          <w:rFonts w:cs="B Mitra"/>
          <w:sz w:val="28"/>
          <w:szCs w:val="28"/>
          <w:cs/>
          <w:lang w:bidi="fa-IR"/>
        </w:rPr>
        <w:t>‎</w:t>
      </w:r>
      <w:r w:rsidRPr="00AB63A7">
        <w:rPr>
          <w:rFonts w:cs="B Mitra"/>
          <w:sz w:val="28"/>
          <w:szCs w:val="28"/>
          <w:rtl/>
          <w:lang w:bidi="fa-IR"/>
        </w:rPr>
        <w:t>ها اين است که مدعی کسی است که خلاف اصل ادعا می</w:t>
      </w:r>
      <w:r w:rsidRPr="00AB63A7">
        <w:rPr>
          <w:rFonts w:cs="B Mitra"/>
          <w:sz w:val="28"/>
          <w:szCs w:val="28"/>
          <w:cs/>
          <w:lang w:bidi="fa-IR"/>
        </w:rPr>
        <w:t>‎</w:t>
      </w:r>
      <w:r w:rsidRPr="00AB63A7">
        <w:rPr>
          <w:rFonts w:cs="B Mitra"/>
          <w:sz w:val="28"/>
          <w:szCs w:val="28"/>
          <w:rtl/>
          <w:lang w:bidi="fa-IR"/>
        </w:rPr>
        <w:t>کند و معلوم است که کسی که خلاف اصل لزوم عقد ادعا می</w:t>
      </w:r>
      <w:r w:rsidRPr="00AB63A7">
        <w:rPr>
          <w:rFonts w:cs="B Mitra"/>
          <w:sz w:val="28"/>
          <w:szCs w:val="28"/>
          <w:cs/>
          <w:lang w:bidi="fa-IR"/>
        </w:rPr>
        <w:t>‎</w:t>
      </w:r>
      <w:r w:rsidRPr="00AB63A7">
        <w:rPr>
          <w:rFonts w:cs="B Mitra"/>
          <w:sz w:val="28"/>
          <w:szCs w:val="28"/>
          <w:rtl/>
          <w:lang w:bidi="fa-IR"/>
        </w:rPr>
        <w:t>کند، زوجه است، بنابر اين زوج منکر خواهد بود. همان گونه که ملاک</w:t>
      </w:r>
      <w:r>
        <w:rPr>
          <w:rFonts w:cs="B Mitra" w:hint="cs"/>
          <w:sz w:val="28"/>
          <w:szCs w:val="28"/>
          <w:rtl/>
          <w:lang w:bidi="fa-IR"/>
        </w:rPr>
        <w:t xml:space="preserve"> </w:t>
      </w:r>
      <w:r w:rsidRPr="00AB63A7">
        <w:rPr>
          <w:rFonts w:cs="B Mitra"/>
          <w:sz w:val="28"/>
          <w:szCs w:val="28"/>
          <w:rtl/>
          <w:lang w:bidi="fa-IR"/>
        </w:rPr>
        <w:t>ديگر اين است که مدعی کسی است که: «يترک لو ترک» و در اين دعوا نيز زوجه است که اين مطلب بر وی صداق است، پس با اين ملاک نيز زوج منکر خواهد بود.</w:t>
      </w:r>
    </w:p>
    <w:p w14:paraId="3751A280"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اشکال: اشکال اين مطلب نيز از آنچه گذشت معلوم می</w:t>
      </w:r>
      <w:r w:rsidRPr="00AB63A7">
        <w:rPr>
          <w:rFonts w:cs="B Mitra"/>
          <w:sz w:val="28"/>
          <w:szCs w:val="28"/>
          <w:cs/>
          <w:lang w:bidi="fa-IR"/>
        </w:rPr>
        <w:t>‎</w:t>
      </w:r>
      <w:r w:rsidRPr="00AB63A7">
        <w:rPr>
          <w:rFonts w:cs="B Mitra"/>
          <w:sz w:val="28"/>
          <w:szCs w:val="28"/>
          <w:rtl/>
          <w:lang w:bidi="fa-IR"/>
        </w:rPr>
        <w:t>شود، زيرا دو دعوا در مسأله مطرح است، دعوای اول دعوای زوجه مبنی بر عنن زوج است که مطالب مذکور در خصوص آن صادق است و زوج در آن دعوا مدعی است. اما در دعوای دوم که پس از ثبوت دعوای اول است، زوج مدعی تحقق وطی است و در اين دعوا اين ملاک</w:t>
      </w:r>
      <w:r w:rsidRPr="00AB63A7">
        <w:rPr>
          <w:rFonts w:cs="B Mitra"/>
          <w:sz w:val="28"/>
          <w:szCs w:val="28"/>
          <w:cs/>
          <w:lang w:bidi="fa-IR"/>
        </w:rPr>
        <w:t>‎</w:t>
      </w:r>
      <w:r w:rsidRPr="00AB63A7">
        <w:rPr>
          <w:rFonts w:cs="B Mitra"/>
          <w:sz w:val="28"/>
          <w:szCs w:val="28"/>
          <w:rtl/>
          <w:lang w:bidi="fa-IR"/>
        </w:rPr>
        <w:t>ها در مورد زوج صادق است، زيرا تحقق وطی خلاف اصل بوده و زوج نيز کسی است که اگر ادعای وطی نداشته باشد، ديگر دعوايی با وی وجود نخواهد داشت، چون فرض بر اين است که دعوای</w:t>
      </w:r>
      <w:r>
        <w:rPr>
          <w:rFonts w:cs="B Mitra" w:hint="cs"/>
          <w:sz w:val="28"/>
          <w:szCs w:val="28"/>
          <w:rtl/>
          <w:lang w:bidi="fa-IR"/>
        </w:rPr>
        <w:t xml:space="preserve"> </w:t>
      </w:r>
      <w:r w:rsidRPr="00AB63A7">
        <w:rPr>
          <w:rFonts w:cs="B Mitra"/>
          <w:sz w:val="28"/>
          <w:szCs w:val="28"/>
          <w:rtl/>
          <w:lang w:bidi="fa-IR"/>
        </w:rPr>
        <w:t>اول حل و فصل شده است.</w:t>
      </w:r>
    </w:p>
    <w:p w14:paraId="51D3EA48"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3 ـ اطلاق صدر صحيحه ابی حمزه که در ابتدای بحث گذشت و نيز آنچه که در کتاب فقه منسوب به امام رضا(ع) آمده است.</w:t>
      </w:r>
    </w:p>
    <w:p w14:paraId="49CFA792"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قال في فقه الرضا(ع): «إذا ادّعت أنّه لا يجامعها ـ عنّيناً كان أو غير عنّين ـ فيقول الرجل: إنّه قد جامعها، فعليه اليمين وعليها البيّنة، لأنّها المدّعية.»</w:t>
      </w:r>
    </w:p>
    <w:p w14:paraId="3E5C5698"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ولی شهيد ثانی در استدلال به صحيحه ابی حمزه اشکال گرفته است.</w:t>
      </w:r>
    </w:p>
    <w:p w14:paraId="62B5D690"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قال الشهيد الثاني في المسال</w:t>
      </w:r>
      <w:r w:rsidRPr="00AB63A7">
        <w:rPr>
          <w:rFonts w:cs="B Mitra"/>
          <w:sz w:val="28"/>
          <w:szCs w:val="28"/>
          <w:rtl/>
        </w:rPr>
        <w:t xml:space="preserve">ك: </w:t>
      </w:r>
      <w:r w:rsidRPr="00AB63A7">
        <w:rPr>
          <w:rFonts w:cs="B Mitra"/>
          <w:sz w:val="28"/>
          <w:szCs w:val="28"/>
          <w:rtl/>
          <w:lang w:bidi="fa-IR"/>
        </w:rPr>
        <w:t>«في دلالة الرواية على موضع النزاع نظر، لأنّ موضعه ما إذا ثبت عننه ومورد الرواية دعواها عليه ذلك مع عدم ثبوت ذلك، وقبول قوله هنا واضح كما مرّ في المسألة الأُولى، لأنّها المدّعية وهو المنكر، لموافقة قوله أصل السلامة، بخلاف موضع النزاع، لتحقّق العيب، فهو فيه المدّعي</w:t>
      </w:r>
      <w:r>
        <w:rPr>
          <w:rFonts w:cs="B Mitra" w:hint="cs"/>
          <w:sz w:val="28"/>
          <w:szCs w:val="28"/>
          <w:rtl/>
          <w:lang w:bidi="fa-IR"/>
        </w:rPr>
        <w:t xml:space="preserve"> </w:t>
      </w:r>
      <w:r w:rsidRPr="00AB63A7">
        <w:rPr>
          <w:rFonts w:cs="B Mitra"/>
          <w:sz w:val="28"/>
          <w:szCs w:val="28"/>
          <w:rtl/>
          <w:lang w:bidi="fa-IR"/>
        </w:rPr>
        <w:t>لزوال ما كان قد ثبت.</w:t>
      </w:r>
    </w:p>
    <w:p w14:paraId="74F53823"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اللهمّ إلا أن يدّعى تناولها بإطلاقها لموضع النزاع، حيث إنّ موردها اختلافهما على حصول الوطء وعدمه الشامل لما لو سبق معه العنّة وعدمه. إلا أنّ تعليله(ع) بكونها المدّعية لا يلائمه، لأنّه مع ثبوت العنّة لا يكون منكراً بل مدّعياً وإن تعذّر إقامة البيّنة.»</w:t>
      </w:r>
    </w:p>
    <w:p w14:paraId="3ED06917"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lastRenderedPageBreak/>
        <w:t>حق نيز در اين مسأله با شهيد ثانی است و وجه آن نيز به بيان ديگر اين است که فسخ نکاح توسط زوجه منوط بر وجود مقتضی و عدم مانع است و در دعوای اول زوجه با زوج، مقتضی برای فسخ ـ يعنی عنن ـ ثابت شده است و در دعوای دوم، آنچه که ادعا شده است وجود مانع ـ يعنی وطی ـ است و کسی که مدعی مانع است ـ يعنی زوج ـ بايد ادعای خود را اثبات کند وگرنه</w:t>
      </w:r>
      <w:r>
        <w:rPr>
          <w:rFonts w:cs="B Mitra" w:hint="cs"/>
          <w:sz w:val="28"/>
          <w:szCs w:val="28"/>
          <w:rtl/>
          <w:lang w:bidi="fa-IR"/>
        </w:rPr>
        <w:t xml:space="preserve"> </w:t>
      </w:r>
      <w:r w:rsidRPr="00AB63A7">
        <w:rPr>
          <w:rFonts w:cs="B Mitra"/>
          <w:sz w:val="28"/>
          <w:szCs w:val="28"/>
          <w:rtl/>
          <w:lang w:bidi="fa-IR"/>
        </w:rPr>
        <w:t>قول طرف مقابل مقدم خواهد بود.</w:t>
      </w:r>
    </w:p>
    <w:p w14:paraId="5C5C728B"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اما به برخی از اصحاب نسبت داده شده است که قائل شده</w:t>
      </w:r>
      <w:r w:rsidRPr="00AB63A7">
        <w:rPr>
          <w:rFonts w:cs="B Mitra"/>
          <w:sz w:val="28"/>
          <w:szCs w:val="28"/>
          <w:cs/>
          <w:lang w:bidi="fa-IR"/>
        </w:rPr>
        <w:t>‎</w:t>
      </w:r>
      <w:r w:rsidRPr="00AB63A7">
        <w:rPr>
          <w:rFonts w:cs="B Mitra"/>
          <w:sz w:val="28"/>
          <w:szCs w:val="28"/>
          <w:rtl/>
          <w:lang w:bidi="fa-IR"/>
        </w:rPr>
        <w:t>اند که چنانچه زوجه باکره باشد، به مقتضای صحيحه ابو بصير عمل می</w:t>
      </w:r>
      <w:r w:rsidRPr="00AB63A7">
        <w:rPr>
          <w:rFonts w:cs="B Mitra"/>
          <w:sz w:val="28"/>
          <w:szCs w:val="28"/>
          <w:cs/>
          <w:lang w:bidi="fa-IR"/>
        </w:rPr>
        <w:t>‎</w:t>
      </w:r>
      <w:r w:rsidRPr="00AB63A7">
        <w:rPr>
          <w:rFonts w:cs="B Mitra"/>
          <w:sz w:val="28"/>
          <w:szCs w:val="28"/>
          <w:rtl/>
          <w:lang w:bidi="fa-IR"/>
        </w:rPr>
        <w:t>شود که دلالت بر امکان شهادت زنان بر تحقق دخول دارد و اگر ثيبه باشد، به مقتضای خبر عبدالله بن فضل هاشمی و نيز خبر غياث بن ابراهيم که سابقاً گذشت، به زن امر می</w:t>
      </w:r>
      <w:r w:rsidRPr="00AB63A7">
        <w:rPr>
          <w:rFonts w:cs="B Mitra"/>
          <w:sz w:val="28"/>
          <w:szCs w:val="28"/>
          <w:cs/>
          <w:lang w:bidi="fa-IR"/>
        </w:rPr>
        <w:t>‎</w:t>
      </w:r>
      <w:r w:rsidRPr="00AB63A7">
        <w:rPr>
          <w:rFonts w:cs="B Mitra"/>
          <w:sz w:val="28"/>
          <w:szCs w:val="28"/>
          <w:rtl/>
          <w:lang w:bidi="fa-IR"/>
        </w:rPr>
        <w:t>شود که مجرا را با ماده</w:t>
      </w:r>
      <w:r w:rsidRPr="00AB63A7">
        <w:rPr>
          <w:rFonts w:cs="B Mitra"/>
          <w:sz w:val="28"/>
          <w:szCs w:val="28"/>
          <w:cs/>
          <w:lang w:bidi="fa-IR"/>
        </w:rPr>
        <w:t>‎</w:t>
      </w:r>
      <w:r w:rsidRPr="00AB63A7">
        <w:rPr>
          <w:rFonts w:cs="B Mitra"/>
          <w:sz w:val="28"/>
          <w:szCs w:val="28"/>
          <w:rtl/>
          <w:lang w:bidi="fa-IR"/>
        </w:rPr>
        <w:t>ای آغشته کند و سپس ملاحظه می</w:t>
      </w:r>
      <w:r w:rsidRPr="00AB63A7">
        <w:rPr>
          <w:rFonts w:cs="B Mitra"/>
          <w:sz w:val="28"/>
          <w:szCs w:val="28"/>
          <w:cs/>
          <w:lang w:bidi="fa-IR"/>
        </w:rPr>
        <w:t>‎</w:t>
      </w:r>
      <w:r w:rsidRPr="00AB63A7">
        <w:rPr>
          <w:rFonts w:cs="B Mitra"/>
          <w:sz w:val="28"/>
          <w:szCs w:val="28"/>
          <w:rtl/>
          <w:lang w:bidi="fa-IR"/>
        </w:rPr>
        <w:t>گردد که آيا ذکر مرد آغشته به آن شده است يا خير.</w:t>
      </w:r>
    </w:p>
    <w:p w14:paraId="61A31A82"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قال الشيخ في الخلاف: «إذا اختلفا في الإصابة فقال: «أصبتها» وأنكرت، فإن كانت ثيّباً فالقول قوله مع يمينه عند أبي حنيفة وأصحابه، والشافعي، والثوري...</w:t>
      </w:r>
    </w:p>
    <w:p w14:paraId="70693637"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وقد روى أصحابنا أنّه تؤمر المرأة أن تحشو قبلها خلوقاً، فاذا وطئها وكان على</w:t>
      </w:r>
      <w:r>
        <w:rPr>
          <w:rFonts w:cs="B Mitra" w:hint="cs"/>
          <w:sz w:val="28"/>
          <w:szCs w:val="28"/>
          <w:rtl/>
          <w:lang w:bidi="fa-IR"/>
        </w:rPr>
        <w:t xml:space="preserve"> </w:t>
      </w:r>
      <w:r w:rsidRPr="00AB63A7">
        <w:rPr>
          <w:rFonts w:cs="B Mitra"/>
          <w:sz w:val="28"/>
          <w:szCs w:val="28"/>
          <w:rtl/>
          <w:lang w:bidi="fa-IR"/>
        </w:rPr>
        <w:t>ذكره أثر الخلوق علم أنّه أصابها، وإن لم يكن علم أنّه لم يصبها، وهذا هو المعمول عليه.</w:t>
      </w:r>
    </w:p>
    <w:p w14:paraId="0F51CF26"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دليلنا: إجماع الفرقة وأخبارهم...»</w:t>
      </w:r>
    </w:p>
    <w:p w14:paraId="50849F53"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وقال الکيدري في إصباح الشيعة: «إذا اختلفا في الإصابة فإن كانت ثيّباً أُمرت بأن تحشو قبلها خلوقاً ثمّ يطأها، فإن تأثّر ذكره بالخلوق صدق في الإصابة وإلا فلا، وإن كانت بكراً أُريت أربع نساء عدول من القوابل.»</w:t>
      </w:r>
    </w:p>
    <w:p w14:paraId="0AE107AD"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اما حق اين است که کلمات اصحاب نص در موردی ندارد که زوج در مهلت يک ساله ادعای وطی نمايد، بلکه ظاهر آن در خصوص طريق اثبات عنن است. بنابر اين در واقع بازگشت به مسأله قبل پيدا می</w:t>
      </w:r>
      <w:r w:rsidRPr="00AB63A7">
        <w:rPr>
          <w:rFonts w:cs="B Mitra"/>
          <w:sz w:val="28"/>
          <w:szCs w:val="28"/>
          <w:cs/>
          <w:lang w:bidi="fa-IR"/>
        </w:rPr>
        <w:t>‎</w:t>
      </w:r>
      <w:r w:rsidRPr="00AB63A7">
        <w:rPr>
          <w:rFonts w:cs="B Mitra"/>
          <w:sz w:val="28"/>
          <w:szCs w:val="28"/>
          <w:rtl/>
          <w:lang w:bidi="fa-IR"/>
        </w:rPr>
        <w:t>کند.</w:t>
      </w:r>
    </w:p>
    <w:p w14:paraId="75F02720"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اما چنانچه زوج قسم نخورد، می</w:t>
      </w:r>
      <w:r w:rsidRPr="00AB63A7">
        <w:rPr>
          <w:rFonts w:cs="B Mitra"/>
          <w:sz w:val="28"/>
          <w:szCs w:val="28"/>
          <w:cs/>
          <w:lang w:bidi="fa-IR"/>
        </w:rPr>
        <w:t>‎</w:t>
      </w:r>
      <w:r w:rsidRPr="00AB63A7">
        <w:rPr>
          <w:rFonts w:cs="B Mitra"/>
          <w:sz w:val="28"/>
          <w:szCs w:val="28"/>
          <w:rtl/>
          <w:lang w:bidi="fa-IR"/>
        </w:rPr>
        <w:t>تواند از منکر ـ يعنی زوجه ـ مطالبه يمين کند</w:t>
      </w:r>
    </w:p>
    <w:p w14:paraId="57F20061"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lastRenderedPageBreak/>
        <w:t>و اين يمين، يمين مردوده نيست، بلکه يمين منکر است. بنابر اين وجهی برای آنچه که در کلام محقق گذشت مبنی بر اين که اگر زوج نکول کند، آيا قاضی می</w:t>
      </w:r>
      <w:r w:rsidRPr="00AB63A7">
        <w:rPr>
          <w:rFonts w:cs="B Mitra"/>
          <w:sz w:val="28"/>
          <w:szCs w:val="28"/>
          <w:cs/>
          <w:lang w:bidi="fa-IR"/>
        </w:rPr>
        <w:t>‎</w:t>
      </w:r>
      <w:r w:rsidRPr="00AB63A7">
        <w:rPr>
          <w:rFonts w:cs="B Mitra"/>
          <w:sz w:val="28"/>
          <w:szCs w:val="28"/>
          <w:rtl/>
          <w:lang w:bidi="fa-IR"/>
        </w:rPr>
        <w:t>تواند به مجرد نکول حکم کند يا اين که بايد يمين را به زوجه برگرداند، وجود ندارد، زيرا اين احکام، احکام نکول منکر از يمين است نه احکام جايی که بر مدعی قسم واجب است و از آن استنکاف می</w:t>
      </w:r>
      <w:r w:rsidRPr="00AB63A7">
        <w:rPr>
          <w:rFonts w:cs="B Mitra"/>
          <w:sz w:val="28"/>
          <w:szCs w:val="28"/>
          <w:cs/>
          <w:lang w:bidi="fa-IR"/>
        </w:rPr>
        <w:t>‎</w:t>
      </w:r>
      <w:r w:rsidRPr="00AB63A7">
        <w:rPr>
          <w:rFonts w:cs="B Mitra"/>
          <w:sz w:val="28"/>
          <w:szCs w:val="28"/>
          <w:rtl/>
          <w:lang w:bidi="fa-IR"/>
        </w:rPr>
        <w:t>کند.</w:t>
      </w:r>
    </w:p>
    <w:p w14:paraId="7A057EF3"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بلکه اين مورد از مواردی است که مدعی اقامه بينه نکرده و از منکر نيز مطالبه يمين نمی</w:t>
      </w:r>
      <w:r w:rsidRPr="00AB63A7">
        <w:rPr>
          <w:rFonts w:cs="B Mitra"/>
          <w:sz w:val="28"/>
          <w:szCs w:val="28"/>
          <w:cs/>
          <w:lang w:bidi="fa-IR"/>
        </w:rPr>
        <w:t>‎</w:t>
      </w:r>
      <w:r w:rsidRPr="00AB63A7">
        <w:rPr>
          <w:rFonts w:cs="B Mitra"/>
          <w:sz w:val="28"/>
          <w:szCs w:val="28"/>
          <w:rtl/>
          <w:lang w:bidi="fa-IR"/>
        </w:rPr>
        <w:t>کند که اين بحث وجود دارد که آيا حاکم می</w:t>
      </w:r>
      <w:r w:rsidRPr="00AB63A7">
        <w:rPr>
          <w:rFonts w:cs="B Mitra"/>
          <w:sz w:val="28"/>
          <w:szCs w:val="28"/>
          <w:cs/>
          <w:lang w:bidi="fa-IR"/>
        </w:rPr>
        <w:t>‎</w:t>
      </w:r>
      <w:r w:rsidRPr="00AB63A7">
        <w:rPr>
          <w:rFonts w:cs="B Mitra"/>
          <w:sz w:val="28"/>
          <w:szCs w:val="28"/>
          <w:rtl/>
          <w:lang w:bidi="fa-IR"/>
        </w:rPr>
        <w:t>تواند خود از منکر مطالبه بينه نمايد يا اين که دعوی متوقف می</w:t>
      </w:r>
      <w:r w:rsidRPr="00AB63A7">
        <w:rPr>
          <w:rFonts w:cs="B Mitra"/>
          <w:sz w:val="28"/>
          <w:szCs w:val="28"/>
          <w:cs/>
          <w:lang w:bidi="fa-IR"/>
        </w:rPr>
        <w:t>‎</w:t>
      </w:r>
      <w:r w:rsidRPr="00AB63A7">
        <w:rPr>
          <w:rFonts w:cs="B Mitra"/>
          <w:sz w:val="28"/>
          <w:szCs w:val="28"/>
          <w:rtl/>
          <w:lang w:bidi="fa-IR"/>
        </w:rPr>
        <w:t>شود؟</w:t>
      </w:r>
    </w:p>
    <w:p w14:paraId="4EA5DB74" w14:textId="77777777" w:rsidR="00AB63A7" w:rsidRPr="00AB63A7" w:rsidRDefault="00AB63A7" w:rsidP="00AB63A7">
      <w:pPr>
        <w:tabs>
          <w:tab w:val="right" w:pos="0"/>
        </w:tabs>
        <w:bidi/>
        <w:spacing w:line="360" w:lineRule="auto"/>
        <w:jc w:val="both"/>
        <w:rPr>
          <w:rFonts w:cs="B Mitra"/>
          <w:sz w:val="28"/>
          <w:szCs w:val="28"/>
          <w:lang w:bidi="fa-IR"/>
        </w:rPr>
      </w:pPr>
      <w:r w:rsidRPr="00AB63A7">
        <w:rPr>
          <w:rFonts w:cs="B Mitra"/>
          <w:sz w:val="28"/>
          <w:szCs w:val="28"/>
          <w:rtl/>
          <w:lang w:bidi="fa-IR"/>
        </w:rPr>
        <w:t>در مورد آنچه که گذشت تفاوتی نيز ندارد که زوج مدعی وطی در قبل باشد يا مدعی وطی در دبر.</w:t>
      </w:r>
      <w:r>
        <w:rPr>
          <w:rFonts w:cs="B Mitra" w:hint="cs"/>
          <w:sz w:val="28"/>
          <w:szCs w:val="28"/>
          <w:rtl/>
          <w:lang w:bidi="fa-IR"/>
        </w:rPr>
        <w:t xml:space="preserve"> </w:t>
      </w:r>
      <w:r w:rsidRPr="00AB63A7">
        <w:rPr>
          <w:rFonts w:cs="B Mitra"/>
          <w:sz w:val="28"/>
          <w:szCs w:val="28"/>
          <w:rtl/>
          <w:lang w:bidi="fa-IR"/>
        </w:rPr>
        <w:t>اما آنچه که در کلام محقق گذشت مبنی بر اين که اگر زوج ادعا کند که غير زوجه را وطی کرده است، چنانچه قسم بخورد ادعای وی مسموع خواهد بود، با توجه به آنچه که سابقاً گذشت مبنی بر اين که عدم خيار زوجه برای فسخ منوط بر اين است که در خلال يک سال، زوج وی را وطی کند و وطی غير زوجه کفايت در اين مطلب نمی</w:t>
      </w:r>
      <w:r w:rsidRPr="00AB63A7">
        <w:rPr>
          <w:rFonts w:cs="B Mitra"/>
          <w:sz w:val="28"/>
          <w:szCs w:val="28"/>
          <w:cs/>
          <w:lang w:bidi="fa-IR"/>
        </w:rPr>
        <w:t>‎</w:t>
      </w:r>
      <w:r w:rsidRPr="00AB63A7">
        <w:rPr>
          <w:rFonts w:cs="B Mitra"/>
          <w:sz w:val="28"/>
          <w:szCs w:val="28"/>
          <w:rtl/>
          <w:lang w:bidi="fa-IR"/>
        </w:rPr>
        <w:t>کند، وجهی برای آن وجود نخواهد داشت.</w:t>
      </w:r>
    </w:p>
    <w:p w14:paraId="3FE417D4" w14:textId="4BE0E38E" w:rsidR="00AB63A7" w:rsidRPr="00AB63A7" w:rsidRDefault="00AB63A7" w:rsidP="00AB63A7">
      <w:pPr>
        <w:tabs>
          <w:tab w:val="right" w:pos="0"/>
        </w:tabs>
        <w:bidi/>
        <w:spacing w:line="360" w:lineRule="auto"/>
        <w:jc w:val="both"/>
        <w:rPr>
          <w:rFonts w:cs="B Mitra"/>
          <w:sz w:val="28"/>
          <w:szCs w:val="28"/>
          <w:lang w:bidi="fa-IR"/>
        </w:rPr>
      </w:pPr>
    </w:p>
    <w:p w14:paraId="493CC92A" w14:textId="1919E812" w:rsidR="00AB63A7" w:rsidRPr="00AB63A7" w:rsidRDefault="00AB63A7" w:rsidP="00AB63A7">
      <w:pPr>
        <w:tabs>
          <w:tab w:val="right" w:pos="0"/>
        </w:tabs>
        <w:bidi/>
        <w:spacing w:line="360" w:lineRule="auto"/>
        <w:jc w:val="both"/>
        <w:rPr>
          <w:rFonts w:cs="B Mitra"/>
          <w:sz w:val="28"/>
          <w:szCs w:val="28"/>
          <w:lang w:bidi="fa-IR"/>
        </w:rPr>
      </w:pPr>
    </w:p>
    <w:p w14:paraId="7E779125" w14:textId="3BFE253A" w:rsidR="00AB63A7" w:rsidRPr="00AB63A7" w:rsidRDefault="00AB63A7" w:rsidP="00AB63A7">
      <w:pPr>
        <w:tabs>
          <w:tab w:val="right" w:pos="0"/>
        </w:tabs>
        <w:bidi/>
        <w:spacing w:line="360" w:lineRule="auto"/>
        <w:jc w:val="both"/>
        <w:rPr>
          <w:rFonts w:cs="B Mitra"/>
          <w:sz w:val="28"/>
          <w:szCs w:val="28"/>
          <w:lang w:bidi="fa-IR"/>
        </w:rPr>
      </w:pPr>
    </w:p>
    <w:p w14:paraId="7772D4CA" w14:textId="4C083127" w:rsidR="00AB63A7" w:rsidRPr="00AB63A7" w:rsidRDefault="00AB63A7" w:rsidP="00AB63A7">
      <w:pPr>
        <w:tabs>
          <w:tab w:val="right" w:pos="0"/>
        </w:tabs>
        <w:bidi/>
        <w:spacing w:line="360" w:lineRule="auto"/>
        <w:jc w:val="both"/>
        <w:rPr>
          <w:rFonts w:cs="B Mitra"/>
          <w:sz w:val="28"/>
          <w:szCs w:val="28"/>
          <w:lang w:bidi="fa-IR"/>
        </w:rPr>
      </w:pPr>
    </w:p>
    <w:p w14:paraId="27075A70" w14:textId="0B5A45D8" w:rsidR="00AB63A7" w:rsidRPr="00AB63A7" w:rsidRDefault="00AB63A7" w:rsidP="00AB63A7">
      <w:pPr>
        <w:tabs>
          <w:tab w:val="right" w:pos="0"/>
        </w:tabs>
        <w:bidi/>
        <w:spacing w:line="360" w:lineRule="auto"/>
        <w:jc w:val="both"/>
        <w:rPr>
          <w:rFonts w:cs="B Mitra"/>
          <w:sz w:val="28"/>
          <w:szCs w:val="28"/>
          <w:lang w:bidi="fa-IR"/>
        </w:rPr>
      </w:pPr>
    </w:p>
    <w:p w14:paraId="5A6CC732" w14:textId="60253235" w:rsidR="00AB63A7" w:rsidRPr="00AB63A7" w:rsidRDefault="00AB63A7" w:rsidP="00AB63A7">
      <w:pPr>
        <w:tabs>
          <w:tab w:val="right" w:pos="0"/>
        </w:tabs>
        <w:bidi/>
        <w:spacing w:line="360" w:lineRule="auto"/>
        <w:jc w:val="both"/>
        <w:rPr>
          <w:rFonts w:cs="B Mitra"/>
          <w:sz w:val="28"/>
          <w:szCs w:val="28"/>
          <w:lang w:bidi="fa-IR"/>
        </w:rPr>
      </w:pPr>
    </w:p>
    <w:p w14:paraId="0C3CF1EA" w14:textId="1A229C7D" w:rsidR="00AB63A7" w:rsidRPr="00AB63A7" w:rsidRDefault="00AB63A7" w:rsidP="00AB63A7">
      <w:pPr>
        <w:tabs>
          <w:tab w:val="right" w:pos="0"/>
        </w:tabs>
        <w:bidi/>
        <w:spacing w:line="360" w:lineRule="auto"/>
        <w:jc w:val="both"/>
        <w:rPr>
          <w:rFonts w:cs="B Mitra"/>
          <w:sz w:val="28"/>
          <w:szCs w:val="28"/>
          <w:lang w:bidi="fa-IR"/>
        </w:rPr>
      </w:pPr>
    </w:p>
    <w:p w14:paraId="519C2707" w14:textId="19196079" w:rsidR="00AB63A7" w:rsidRPr="00AB63A7" w:rsidRDefault="00AB63A7" w:rsidP="00AB63A7">
      <w:pPr>
        <w:tabs>
          <w:tab w:val="right" w:pos="0"/>
        </w:tabs>
        <w:bidi/>
        <w:spacing w:line="360" w:lineRule="auto"/>
        <w:jc w:val="both"/>
        <w:rPr>
          <w:rFonts w:cs="B Mitra"/>
          <w:sz w:val="28"/>
          <w:szCs w:val="28"/>
        </w:rPr>
      </w:pPr>
    </w:p>
    <w:p w14:paraId="7C764203" w14:textId="77777777" w:rsidR="003B67DA" w:rsidRPr="00AB63A7" w:rsidRDefault="003B67DA" w:rsidP="00AB63A7">
      <w:pPr>
        <w:tabs>
          <w:tab w:val="right" w:pos="0"/>
        </w:tabs>
        <w:bidi/>
        <w:spacing w:line="360" w:lineRule="auto"/>
        <w:jc w:val="both"/>
        <w:rPr>
          <w:rFonts w:cs="B Mitra"/>
          <w:sz w:val="28"/>
          <w:szCs w:val="28"/>
        </w:rPr>
      </w:pPr>
    </w:p>
    <w:sectPr w:rsidR="003B67DA" w:rsidRPr="00AB63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B67DA"/>
    <w:rsid w:val="003E26C5"/>
    <w:rsid w:val="003F0884"/>
    <w:rsid w:val="00423225"/>
    <w:rsid w:val="005F7E7F"/>
    <w:rsid w:val="00712FC3"/>
    <w:rsid w:val="00822D58"/>
    <w:rsid w:val="009430B7"/>
    <w:rsid w:val="00AB63A7"/>
    <w:rsid w:val="00AC334B"/>
    <w:rsid w:val="00AC673B"/>
    <w:rsid w:val="00B664D0"/>
    <w:rsid w:val="00C6283F"/>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500">
      <w:bodyDiv w:val="1"/>
      <w:marLeft w:val="0"/>
      <w:marRight w:val="0"/>
      <w:marTop w:val="0"/>
      <w:marBottom w:val="0"/>
      <w:divBdr>
        <w:top w:val="none" w:sz="0" w:space="0" w:color="auto"/>
        <w:left w:val="none" w:sz="0" w:space="0" w:color="auto"/>
        <w:bottom w:val="none" w:sz="0" w:space="0" w:color="auto"/>
        <w:right w:val="none" w:sz="0" w:space="0" w:color="auto"/>
      </w:divBdr>
    </w:div>
    <w:div w:id="20404033">
      <w:bodyDiv w:val="1"/>
      <w:marLeft w:val="0"/>
      <w:marRight w:val="0"/>
      <w:marTop w:val="0"/>
      <w:marBottom w:val="0"/>
      <w:divBdr>
        <w:top w:val="none" w:sz="0" w:space="0" w:color="auto"/>
        <w:left w:val="none" w:sz="0" w:space="0" w:color="auto"/>
        <w:bottom w:val="none" w:sz="0" w:space="0" w:color="auto"/>
        <w:right w:val="none" w:sz="0" w:space="0" w:color="auto"/>
      </w:divBdr>
    </w:div>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58791488">
      <w:bodyDiv w:val="1"/>
      <w:marLeft w:val="0"/>
      <w:marRight w:val="0"/>
      <w:marTop w:val="0"/>
      <w:marBottom w:val="0"/>
      <w:divBdr>
        <w:top w:val="none" w:sz="0" w:space="0" w:color="auto"/>
        <w:left w:val="none" w:sz="0" w:space="0" w:color="auto"/>
        <w:bottom w:val="none" w:sz="0" w:space="0" w:color="auto"/>
        <w:right w:val="none" w:sz="0" w:space="0" w:color="auto"/>
      </w:divBdr>
    </w:div>
    <w:div w:id="83690770">
      <w:bodyDiv w:val="1"/>
      <w:marLeft w:val="0"/>
      <w:marRight w:val="0"/>
      <w:marTop w:val="0"/>
      <w:marBottom w:val="0"/>
      <w:divBdr>
        <w:top w:val="none" w:sz="0" w:space="0" w:color="auto"/>
        <w:left w:val="none" w:sz="0" w:space="0" w:color="auto"/>
        <w:bottom w:val="none" w:sz="0" w:space="0" w:color="auto"/>
        <w:right w:val="none" w:sz="0" w:space="0" w:color="auto"/>
      </w:divBdr>
    </w:div>
    <w:div w:id="93289829">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7408439">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227570150">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012728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27576857">
      <w:bodyDiv w:val="1"/>
      <w:marLeft w:val="0"/>
      <w:marRight w:val="0"/>
      <w:marTop w:val="0"/>
      <w:marBottom w:val="0"/>
      <w:divBdr>
        <w:top w:val="none" w:sz="0" w:space="0" w:color="auto"/>
        <w:left w:val="none" w:sz="0" w:space="0" w:color="auto"/>
        <w:bottom w:val="none" w:sz="0" w:space="0" w:color="auto"/>
        <w:right w:val="none" w:sz="0" w:space="0" w:color="auto"/>
      </w:divBdr>
    </w:div>
    <w:div w:id="429549158">
      <w:bodyDiv w:val="1"/>
      <w:marLeft w:val="0"/>
      <w:marRight w:val="0"/>
      <w:marTop w:val="0"/>
      <w:marBottom w:val="0"/>
      <w:divBdr>
        <w:top w:val="none" w:sz="0" w:space="0" w:color="auto"/>
        <w:left w:val="none" w:sz="0" w:space="0" w:color="auto"/>
        <w:bottom w:val="none" w:sz="0" w:space="0" w:color="auto"/>
        <w:right w:val="none" w:sz="0" w:space="0" w:color="auto"/>
      </w:divBdr>
    </w:div>
    <w:div w:id="457066521">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88833699">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27304635">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1842130">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60425490">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692150484">
      <w:bodyDiv w:val="1"/>
      <w:marLeft w:val="0"/>
      <w:marRight w:val="0"/>
      <w:marTop w:val="0"/>
      <w:marBottom w:val="0"/>
      <w:divBdr>
        <w:top w:val="none" w:sz="0" w:space="0" w:color="auto"/>
        <w:left w:val="none" w:sz="0" w:space="0" w:color="auto"/>
        <w:bottom w:val="none" w:sz="0" w:space="0" w:color="auto"/>
        <w:right w:val="none" w:sz="0" w:space="0" w:color="auto"/>
      </w:divBdr>
    </w:div>
    <w:div w:id="700396266">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760570666">
      <w:bodyDiv w:val="1"/>
      <w:marLeft w:val="0"/>
      <w:marRight w:val="0"/>
      <w:marTop w:val="0"/>
      <w:marBottom w:val="0"/>
      <w:divBdr>
        <w:top w:val="none" w:sz="0" w:space="0" w:color="auto"/>
        <w:left w:val="none" w:sz="0" w:space="0" w:color="auto"/>
        <w:bottom w:val="none" w:sz="0" w:space="0" w:color="auto"/>
        <w:right w:val="none" w:sz="0" w:space="0" w:color="auto"/>
      </w:divBdr>
    </w:div>
    <w:div w:id="777600760">
      <w:bodyDiv w:val="1"/>
      <w:marLeft w:val="0"/>
      <w:marRight w:val="0"/>
      <w:marTop w:val="0"/>
      <w:marBottom w:val="0"/>
      <w:divBdr>
        <w:top w:val="none" w:sz="0" w:space="0" w:color="auto"/>
        <w:left w:val="none" w:sz="0" w:space="0" w:color="auto"/>
        <w:bottom w:val="none" w:sz="0" w:space="0" w:color="auto"/>
        <w:right w:val="none" w:sz="0" w:space="0" w:color="auto"/>
      </w:divBdr>
    </w:div>
    <w:div w:id="791365841">
      <w:bodyDiv w:val="1"/>
      <w:marLeft w:val="0"/>
      <w:marRight w:val="0"/>
      <w:marTop w:val="0"/>
      <w:marBottom w:val="0"/>
      <w:divBdr>
        <w:top w:val="none" w:sz="0" w:space="0" w:color="auto"/>
        <w:left w:val="none" w:sz="0" w:space="0" w:color="auto"/>
        <w:bottom w:val="none" w:sz="0" w:space="0" w:color="auto"/>
        <w:right w:val="none" w:sz="0" w:space="0" w:color="auto"/>
      </w:divBdr>
    </w:div>
    <w:div w:id="798107146">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2976031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01018736">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67786373">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998536625">
      <w:bodyDiv w:val="1"/>
      <w:marLeft w:val="0"/>
      <w:marRight w:val="0"/>
      <w:marTop w:val="0"/>
      <w:marBottom w:val="0"/>
      <w:divBdr>
        <w:top w:val="none" w:sz="0" w:space="0" w:color="auto"/>
        <w:left w:val="none" w:sz="0" w:space="0" w:color="auto"/>
        <w:bottom w:val="none" w:sz="0" w:space="0" w:color="auto"/>
        <w:right w:val="none" w:sz="0" w:space="0" w:color="auto"/>
      </w:divBdr>
    </w:div>
    <w:div w:id="1020014589">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27360594">
      <w:bodyDiv w:val="1"/>
      <w:marLeft w:val="0"/>
      <w:marRight w:val="0"/>
      <w:marTop w:val="0"/>
      <w:marBottom w:val="0"/>
      <w:divBdr>
        <w:top w:val="none" w:sz="0" w:space="0" w:color="auto"/>
        <w:left w:val="none" w:sz="0" w:space="0" w:color="auto"/>
        <w:bottom w:val="none" w:sz="0" w:space="0" w:color="auto"/>
        <w:right w:val="none" w:sz="0" w:space="0" w:color="auto"/>
      </w:divBdr>
    </w:div>
    <w:div w:id="1129085077">
      <w:bodyDiv w:val="1"/>
      <w:marLeft w:val="0"/>
      <w:marRight w:val="0"/>
      <w:marTop w:val="0"/>
      <w:marBottom w:val="0"/>
      <w:divBdr>
        <w:top w:val="none" w:sz="0" w:space="0" w:color="auto"/>
        <w:left w:val="none" w:sz="0" w:space="0" w:color="auto"/>
        <w:bottom w:val="none" w:sz="0" w:space="0" w:color="auto"/>
        <w:right w:val="none" w:sz="0" w:space="0" w:color="auto"/>
      </w:divBdr>
    </w:div>
    <w:div w:id="1174682242">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02541659">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13359477">
      <w:bodyDiv w:val="1"/>
      <w:marLeft w:val="0"/>
      <w:marRight w:val="0"/>
      <w:marTop w:val="0"/>
      <w:marBottom w:val="0"/>
      <w:divBdr>
        <w:top w:val="none" w:sz="0" w:space="0" w:color="auto"/>
        <w:left w:val="none" w:sz="0" w:space="0" w:color="auto"/>
        <w:bottom w:val="none" w:sz="0" w:space="0" w:color="auto"/>
        <w:right w:val="none" w:sz="0" w:space="0" w:color="auto"/>
      </w:divBdr>
    </w:div>
    <w:div w:id="1426654298">
      <w:bodyDiv w:val="1"/>
      <w:marLeft w:val="0"/>
      <w:marRight w:val="0"/>
      <w:marTop w:val="0"/>
      <w:marBottom w:val="0"/>
      <w:divBdr>
        <w:top w:val="none" w:sz="0" w:space="0" w:color="auto"/>
        <w:left w:val="none" w:sz="0" w:space="0" w:color="auto"/>
        <w:bottom w:val="none" w:sz="0" w:space="0" w:color="auto"/>
        <w:right w:val="none" w:sz="0" w:space="0" w:color="auto"/>
      </w:divBdr>
    </w:div>
    <w:div w:id="1436291016">
      <w:bodyDiv w:val="1"/>
      <w:marLeft w:val="0"/>
      <w:marRight w:val="0"/>
      <w:marTop w:val="0"/>
      <w:marBottom w:val="0"/>
      <w:divBdr>
        <w:top w:val="none" w:sz="0" w:space="0" w:color="auto"/>
        <w:left w:val="none" w:sz="0" w:space="0" w:color="auto"/>
        <w:bottom w:val="none" w:sz="0" w:space="0" w:color="auto"/>
        <w:right w:val="none" w:sz="0" w:space="0" w:color="auto"/>
      </w:divBdr>
    </w:div>
    <w:div w:id="1447041577">
      <w:bodyDiv w:val="1"/>
      <w:marLeft w:val="0"/>
      <w:marRight w:val="0"/>
      <w:marTop w:val="0"/>
      <w:marBottom w:val="0"/>
      <w:divBdr>
        <w:top w:val="none" w:sz="0" w:space="0" w:color="auto"/>
        <w:left w:val="none" w:sz="0" w:space="0" w:color="auto"/>
        <w:bottom w:val="none" w:sz="0" w:space="0" w:color="auto"/>
        <w:right w:val="none" w:sz="0" w:space="0" w:color="auto"/>
      </w:divBdr>
    </w:div>
    <w:div w:id="1462963402">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490708737">
      <w:bodyDiv w:val="1"/>
      <w:marLeft w:val="0"/>
      <w:marRight w:val="0"/>
      <w:marTop w:val="0"/>
      <w:marBottom w:val="0"/>
      <w:divBdr>
        <w:top w:val="none" w:sz="0" w:space="0" w:color="auto"/>
        <w:left w:val="none" w:sz="0" w:space="0" w:color="auto"/>
        <w:bottom w:val="none" w:sz="0" w:space="0" w:color="auto"/>
        <w:right w:val="none" w:sz="0" w:space="0" w:color="auto"/>
      </w:divBdr>
    </w:div>
    <w:div w:id="1518545776">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5386914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663315149">
      <w:bodyDiv w:val="1"/>
      <w:marLeft w:val="0"/>
      <w:marRight w:val="0"/>
      <w:marTop w:val="0"/>
      <w:marBottom w:val="0"/>
      <w:divBdr>
        <w:top w:val="none" w:sz="0" w:space="0" w:color="auto"/>
        <w:left w:val="none" w:sz="0" w:space="0" w:color="auto"/>
        <w:bottom w:val="none" w:sz="0" w:space="0" w:color="auto"/>
        <w:right w:val="none" w:sz="0" w:space="0" w:color="auto"/>
      </w:divBdr>
    </w:div>
    <w:div w:id="168212433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21396582">
      <w:bodyDiv w:val="1"/>
      <w:marLeft w:val="0"/>
      <w:marRight w:val="0"/>
      <w:marTop w:val="0"/>
      <w:marBottom w:val="0"/>
      <w:divBdr>
        <w:top w:val="none" w:sz="0" w:space="0" w:color="auto"/>
        <w:left w:val="none" w:sz="0" w:space="0" w:color="auto"/>
        <w:bottom w:val="none" w:sz="0" w:space="0" w:color="auto"/>
        <w:right w:val="none" w:sz="0" w:space="0" w:color="auto"/>
      </w:divBdr>
    </w:div>
    <w:div w:id="1738436356">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0804532">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17913424">
      <w:bodyDiv w:val="1"/>
      <w:marLeft w:val="0"/>
      <w:marRight w:val="0"/>
      <w:marTop w:val="0"/>
      <w:marBottom w:val="0"/>
      <w:divBdr>
        <w:top w:val="none" w:sz="0" w:space="0" w:color="auto"/>
        <w:left w:val="none" w:sz="0" w:space="0" w:color="auto"/>
        <w:bottom w:val="none" w:sz="0" w:space="0" w:color="auto"/>
        <w:right w:val="none" w:sz="0" w:space="0" w:color="auto"/>
      </w:divBdr>
    </w:div>
    <w:div w:id="182461349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844785305">
      <w:bodyDiv w:val="1"/>
      <w:marLeft w:val="0"/>
      <w:marRight w:val="0"/>
      <w:marTop w:val="0"/>
      <w:marBottom w:val="0"/>
      <w:divBdr>
        <w:top w:val="none" w:sz="0" w:space="0" w:color="auto"/>
        <w:left w:val="none" w:sz="0" w:space="0" w:color="auto"/>
        <w:bottom w:val="none" w:sz="0" w:space="0" w:color="auto"/>
        <w:right w:val="none" w:sz="0" w:space="0" w:color="auto"/>
      </w:divBdr>
    </w:div>
    <w:div w:id="1845706634">
      <w:bodyDiv w:val="1"/>
      <w:marLeft w:val="0"/>
      <w:marRight w:val="0"/>
      <w:marTop w:val="0"/>
      <w:marBottom w:val="0"/>
      <w:divBdr>
        <w:top w:val="none" w:sz="0" w:space="0" w:color="auto"/>
        <w:left w:val="none" w:sz="0" w:space="0" w:color="auto"/>
        <w:bottom w:val="none" w:sz="0" w:space="0" w:color="auto"/>
        <w:right w:val="none" w:sz="0" w:space="0" w:color="auto"/>
      </w:divBdr>
    </w:div>
    <w:div w:id="1912037643">
      <w:bodyDiv w:val="1"/>
      <w:marLeft w:val="0"/>
      <w:marRight w:val="0"/>
      <w:marTop w:val="0"/>
      <w:marBottom w:val="0"/>
      <w:divBdr>
        <w:top w:val="none" w:sz="0" w:space="0" w:color="auto"/>
        <w:left w:val="none" w:sz="0" w:space="0" w:color="auto"/>
        <w:bottom w:val="none" w:sz="0" w:space="0" w:color="auto"/>
        <w:right w:val="none" w:sz="0" w:space="0" w:color="auto"/>
      </w:divBdr>
    </w:div>
    <w:div w:id="1914968635">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37053940">
      <w:bodyDiv w:val="1"/>
      <w:marLeft w:val="0"/>
      <w:marRight w:val="0"/>
      <w:marTop w:val="0"/>
      <w:marBottom w:val="0"/>
      <w:divBdr>
        <w:top w:val="none" w:sz="0" w:space="0" w:color="auto"/>
        <w:left w:val="none" w:sz="0" w:space="0" w:color="auto"/>
        <w:bottom w:val="none" w:sz="0" w:space="0" w:color="auto"/>
        <w:right w:val="none" w:sz="0" w:space="0" w:color="auto"/>
      </w:divBdr>
    </w:div>
    <w:div w:id="1946689243">
      <w:bodyDiv w:val="1"/>
      <w:marLeft w:val="0"/>
      <w:marRight w:val="0"/>
      <w:marTop w:val="0"/>
      <w:marBottom w:val="0"/>
      <w:divBdr>
        <w:top w:val="none" w:sz="0" w:space="0" w:color="auto"/>
        <w:left w:val="none" w:sz="0" w:space="0" w:color="auto"/>
        <w:bottom w:val="none" w:sz="0" w:space="0" w:color="auto"/>
        <w:right w:val="none" w:sz="0" w:space="0" w:color="auto"/>
      </w:divBdr>
    </w:div>
    <w:div w:id="1948150070">
      <w:bodyDiv w:val="1"/>
      <w:marLeft w:val="0"/>
      <w:marRight w:val="0"/>
      <w:marTop w:val="0"/>
      <w:marBottom w:val="0"/>
      <w:divBdr>
        <w:top w:val="none" w:sz="0" w:space="0" w:color="auto"/>
        <w:left w:val="none" w:sz="0" w:space="0" w:color="auto"/>
        <w:bottom w:val="none" w:sz="0" w:space="0" w:color="auto"/>
        <w:right w:val="none" w:sz="0" w:space="0" w:color="auto"/>
      </w:divBdr>
    </w:div>
    <w:div w:id="1963002778">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18803288">
      <w:bodyDiv w:val="1"/>
      <w:marLeft w:val="0"/>
      <w:marRight w:val="0"/>
      <w:marTop w:val="0"/>
      <w:marBottom w:val="0"/>
      <w:divBdr>
        <w:top w:val="none" w:sz="0" w:space="0" w:color="auto"/>
        <w:left w:val="none" w:sz="0" w:space="0" w:color="auto"/>
        <w:bottom w:val="none" w:sz="0" w:space="0" w:color="auto"/>
        <w:right w:val="none" w:sz="0" w:space="0" w:color="auto"/>
      </w:divBdr>
    </w:div>
    <w:div w:id="204852477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1073047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2022-06-02T15:18:00Z</dcterms:created>
  <dcterms:modified xsi:type="dcterms:W3CDTF">2022-06-02T15:18:00Z</dcterms:modified>
</cp:coreProperties>
</file>