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7D2DA" w14:textId="32530278" w:rsidR="00BE7860" w:rsidRDefault="0035070B" w:rsidP="00F04775">
      <w:pPr>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9A4AA1">
        <w:rPr>
          <w:rFonts w:cs="B Jadid" w:hint="cs"/>
          <w:sz w:val="28"/>
          <w:szCs w:val="28"/>
          <w:rtl/>
          <w:lang w:bidi="fa-IR"/>
        </w:rPr>
        <w:t xml:space="preserve"> شصت</w:t>
      </w:r>
      <w:r w:rsidR="00E73797">
        <w:rPr>
          <w:rFonts w:cs="B Jadid" w:hint="cs"/>
          <w:sz w:val="28"/>
          <w:szCs w:val="28"/>
          <w:rtl/>
          <w:lang w:bidi="fa-IR"/>
        </w:rPr>
        <w:t xml:space="preserve"> و </w:t>
      </w:r>
      <w:r w:rsidR="00F04775">
        <w:rPr>
          <w:rFonts w:cs="B Jadid" w:hint="cs"/>
          <w:sz w:val="28"/>
          <w:szCs w:val="28"/>
          <w:rtl/>
          <w:lang w:bidi="fa-IR"/>
        </w:rPr>
        <w:t>ششم</w:t>
      </w:r>
      <w:r w:rsidR="00E73797">
        <w:rPr>
          <w:rFonts w:cs="B Jadid" w:hint="cs"/>
          <w:sz w:val="28"/>
          <w:szCs w:val="28"/>
          <w:rtl/>
          <w:lang w:bidi="fa-IR"/>
        </w:rPr>
        <w:t xml:space="preserve"> </w:t>
      </w:r>
      <w:r w:rsidR="006F3D95">
        <w:rPr>
          <w:rFonts w:cs="B Jadid" w:hint="cs"/>
          <w:sz w:val="28"/>
          <w:szCs w:val="28"/>
          <w:rtl/>
          <w:lang w:bidi="fa-IR"/>
        </w:rPr>
        <w:t xml:space="preserve"> </w:t>
      </w:r>
      <w:r w:rsidR="00A463CD">
        <w:rPr>
          <w:rFonts w:cs="B Jadid" w:hint="cs"/>
          <w:sz w:val="28"/>
          <w:szCs w:val="28"/>
          <w:rtl/>
          <w:lang w:bidi="fa-IR"/>
        </w:rPr>
        <w:t xml:space="preserve"> </w:t>
      </w:r>
      <w:r w:rsidR="00F04775">
        <w:rPr>
          <w:rFonts w:cs="B Jadid" w:hint="cs"/>
          <w:sz w:val="28"/>
          <w:szCs w:val="28"/>
          <w:rtl/>
          <w:lang w:bidi="fa-IR"/>
        </w:rPr>
        <w:t>دو</w:t>
      </w:r>
      <w:r w:rsidR="005327EB">
        <w:rPr>
          <w:rFonts w:cs="B Jadid" w:hint="cs"/>
          <w:sz w:val="28"/>
          <w:szCs w:val="28"/>
          <w:rtl/>
          <w:lang w:bidi="fa-IR"/>
        </w:rPr>
        <w:t>شنبه</w:t>
      </w:r>
      <w:r w:rsidR="00354904" w:rsidRPr="00AC70A6">
        <w:rPr>
          <w:rFonts w:cs="B Jadid" w:hint="cs"/>
          <w:sz w:val="28"/>
          <w:szCs w:val="28"/>
          <w:rtl/>
          <w:lang w:bidi="fa-IR"/>
        </w:rPr>
        <w:t xml:space="preserve"> </w:t>
      </w:r>
      <w:r w:rsidR="00144511">
        <w:rPr>
          <w:rFonts w:cs="B Jadid" w:hint="cs"/>
          <w:sz w:val="28"/>
          <w:szCs w:val="28"/>
          <w:rtl/>
          <w:lang w:bidi="fa-IR"/>
        </w:rPr>
        <w:t>1</w:t>
      </w:r>
      <w:r w:rsidR="00F04775">
        <w:rPr>
          <w:rFonts w:cs="B Jadid" w:hint="cs"/>
          <w:sz w:val="28"/>
          <w:szCs w:val="28"/>
          <w:rtl/>
          <w:lang w:bidi="fa-IR"/>
        </w:rPr>
        <w:t>6</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35927C8D" w14:textId="77777777" w:rsidR="00F04775" w:rsidRPr="00BE7860" w:rsidRDefault="00F04775" w:rsidP="00F04775">
      <w:pPr>
        <w:bidi/>
        <w:spacing w:line="360" w:lineRule="auto"/>
        <w:jc w:val="center"/>
        <w:rPr>
          <w:rFonts w:cs="B Badr"/>
          <w:sz w:val="32"/>
          <w:szCs w:val="32"/>
        </w:rPr>
      </w:pPr>
    </w:p>
    <w:p w14:paraId="3D12BB57" w14:textId="77777777" w:rsidR="00F04775" w:rsidRPr="00F04775" w:rsidRDefault="00F04775" w:rsidP="00F04775">
      <w:pPr>
        <w:bidi/>
        <w:spacing w:line="360" w:lineRule="auto"/>
        <w:jc w:val="both"/>
        <w:rPr>
          <w:rFonts w:cs="B Badr"/>
          <w:sz w:val="32"/>
          <w:szCs w:val="32"/>
        </w:rPr>
      </w:pPr>
      <w:r w:rsidRPr="00F04775">
        <w:rPr>
          <w:rFonts w:cs="B Badr"/>
          <w:sz w:val="32"/>
          <w:szCs w:val="32"/>
          <w:rtl/>
          <w:lang w:bidi="fa-IR"/>
        </w:rPr>
        <w:t>در خصوص کشف از خنثی بودن زوج، شيخ در مبسوط مطلبی دارد که موجب اشکال اعلام بر ايشان شده است.</w:t>
      </w:r>
    </w:p>
    <w:p w14:paraId="12A9C1F7" w14:textId="77777777" w:rsidR="00F04775" w:rsidRPr="00F04775" w:rsidRDefault="00F04775" w:rsidP="00F04775">
      <w:pPr>
        <w:bidi/>
        <w:spacing w:line="360" w:lineRule="auto"/>
        <w:jc w:val="both"/>
        <w:rPr>
          <w:rFonts w:cs="B Badr"/>
          <w:sz w:val="32"/>
          <w:szCs w:val="32"/>
        </w:rPr>
      </w:pPr>
      <w:r w:rsidRPr="00F04775">
        <w:rPr>
          <w:rFonts w:cs="B Badr"/>
          <w:sz w:val="32"/>
          <w:szCs w:val="32"/>
          <w:rtl/>
          <w:lang w:bidi="fa-IR"/>
        </w:rPr>
        <w:t>قال الشيخ في المبسوط: «لو أصابته خنثى وقد ثبت أنّه رجل، فهل لها الخيار؟ على قولين، أحدهما: لها الخيار ـ وهو الأقوى ـ والثاني: لا خيار لها.»</w:t>
      </w:r>
    </w:p>
    <w:p w14:paraId="1582CD8A" w14:textId="77777777" w:rsidR="00F04775" w:rsidRPr="00F04775" w:rsidRDefault="00F04775" w:rsidP="00F04775">
      <w:pPr>
        <w:bidi/>
        <w:spacing w:line="360" w:lineRule="auto"/>
        <w:jc w:val="both"/>
        <w:rPr>
          <w:rFonts w:cs="B Badr"/>
          <w:sz w:val="32"/>
          <w:szCs w:val="32"/>
        </w:rPr>
      </w:pPr>
      <w:r w:rsidRPr="00F04775">
        <w:rPr>
          <w:rFonts w:cs="B Badr"/>
          <w:sz w:val="32"/>
          <w:szCs w:val="32"/>
          <w:rtl/>
          <w:lang w:bidi="fa-IR"/>
        </w:rPr>
        <w:t>وقال في موضع آخر منه: «إذا حكم له بأنّه رجل زوّج امرأة، فإذا حكم له بأنّه امرأة زوّجت من رجل.</w:t>
      </w:r>
    </w:p>
    <w:p w14:paraId="5613F26F" w14:textId="77777777" w:rsidR="00F04775" w:rsidRPr="00F04775" w:rsidRDefault="00F04775" w:rsidP="00F04775">
      <w:pPr>
        <w:bidi/>
        <w:spacing w:line="360" w:lineRule="auto"/>
        <w:jc w:val="both"/>
        <w:rPr>
          <w:rFonts w:cs="B Badr"/>
          <w:sz w:val="32"/>
          <w:szCs w:val="32"/>
        </w:rPr>
      </w:pPr>
      <w:r w:rsidRPr="00F04775">
        <w:rPr>
          <w:rFonts w:cs="B Badr"/>
          <w:sz w:val="32"/>
          <w:szCs w:val="32"/>
          <w:rtl/>
          <w:lang w:bidi="fa-IR"/>
        </w:rPr>
        <w:t>فإذا تزوّج امرأة مع العلم بحاله فلا خيار لها، وإن كان مع الجهل به قيل: فيه قولان، وهكذا لو تزوّج امرأة خنثى مع العلم فلا خيار له، وإن كان مع الجهل فعلى وجهين، أقواهما أنّ له الخيار.»</w:t>
      </w:r>
    </w:p>
    <w:p w14:paraId="035A4316"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نعم، قال هو قبل ذل</w:t>
      </w:r>
      <w:r w:rsidRPr="00F04775">
        <w:rPr>
          <w:rFonts w:cs="B Badr"/>
          <w:sz w:val="32"/>
          <w:szCs w:val="32"/>
          <w:rtl/>
        </w:rPr>
        <w:t>ك</w:t>
      </w:r>
      <w:r w:rsidRPr="00F04775">
        <w:rPr>
          <w:rFonts w:cs="B Badr"/>
          <w:sz w:val="32"/>
          <w:szCs w:val="32"/>
          <w:rtl/>
          <w:lang w:bidi="fa-IR"/>
        </w:rPr>
        <w:t xml:space="preserve">: «أمّا الخنثى فإنّه يجامع كالرجل وإنّما هناك خلقة زائدة، فهو كما لو كان له إصبع زائدة، وهذا الوجه أقوى.» </w:t>
      </w:r>
    </w:p>
    <w:p w14:paraId="38CC5858"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اما همان گونه که در کلام محقق گذشت، ايشان در فرضی که وطی از جانب خنثی امکان</w:t>
      </w:r>
      <w:r w:rsidRPr="00F04775">
        <w:rPr>
          <w:rFonts w:cs="B Badr"/>
          <w:sz w:val="32"/>
          <w:szCs w:val="32"/>
          <w:cs/>
          <w:lang w:bidi="fa-IR"/>
        </w:rPr>
        <w:t>‎</w:t>
      </w:r>
      <w:r w:rsidRPr="00F04775">
        <w:rPr>
          <w:rFonts w:cs="B Badr"/>
          <w:sz w:val="32"/>
          <w:szCs w:val="32"/>
          <w:rtl/>
          <w:lang w:bidi="fa-IR"/>
        </w:rPr>
        <w:t>پذير باشد، حق فسخ برای زوجه قائل نشده</w:t>
      </w:r>
      <w:r w:rsidRPr="00F04775">
        <w:rPr>
          <w:rFonts w:cs="B Badr"/>
          <w:sz w:val="32"/>
          <w:szCs w:val="32"/>
          <w:cs/>
          <w:lang w:bidi="fa-IR"/>
        </w:rPr>
        <w:t>‎</w:t>
      </w:r>
      <w:r w:rsidRPr="00F04775">
        <w:rPr>
          <w:rFonts w:cs="B Badr"/>
          <w:sz w:val="32"/>
          <w:szCs w:val="32"/>
          <w:rtl/>
          <w:lang w:bidi="fa-IR"/>
        </w:rPr>
        <w:t>اند.</w:t>
      </w:r>
    </w:p>
    <w:p w14:paraId="1265E809"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lastRenderedPageBreak/>
        <w:t>وقال ابن البرّاج في المهذّب: «إن بان أنّه خنثىً ـ وهو الذي له ما للرجل وما للمرأة ـ فلا خيار لها مع ذلك إذا بان أنّه رجل، لأنّه يجامع كما جامع الرجل وإنّما في خلقته ما هو زائد، ويجري مجرى الإصبع الزائدة في أنّه لا تأثير له في شي‌ء من ذلك. فإن ظهر أنّه عقيم ـ وهو أنّه لا يولد له ـ فليس لها خيار أيضاً، لأنّه يجامع كما يجامع غيره، وفقد الولد غير متعلّق به، لأنّ ذلك من فعل الله تعالى.»</w:t>
      </w:r>
    </w:p>
    <w:p w14:paraId="6A83605B"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وشايد بتوان کلام شيخ را نيز حمل بر حالتی نمود که امکان وطی وجود نداشته باشد.</w:t>
      </w:r>
    </w:p>
    <w:p w14:paraId="59CDD129"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ويؤيّده ما قال في الخلاف: «لو كان الرجل مسلولاً لكنّه يقدر على الجماع غير</w:t>
      </w:r>
      <w:r>
        <w:rPr>
          <w:rFonts w:cs="B Badr" w:hint="cs"/>
          <w:sz w:val="32"/>
          <w:szCs w:val="32"/>
          <w:rtl/>
          <w:lang w:bidi="fa-IR"/>
        </w:rPr>
        <w:t xml:space="preserve"> </w:t>
      </w:r>
      <w:r w:rsidRPr="00F04775">
        <w:rPr>
          <w:rFonts w:cs="B Badr"/>
          <w:sz w:val="32"/>
          <w:szCs w:val="32"/>
          <w:rtl/>
          <w:lang w:bidi="fa-IR"/>
        </w:rPr>
        <w:t>أنّه لا ينزل، أو كان خنثىً حكم له بالرجل، لم يردّ بالعيب، وإن كانت المرأة خنثىً حكم لها بالمرأة مثل ذلك... دليلنا: أنّ العقد قد ثبت بالإجماع وإثبات الخيار لهما بذلك يحتاج الى دليل.»</w:t>
      </w:r>
    </w:p>
    <w:p w14:paraId="47DDE4C4"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ولی آنچه که در موضع دوم از مبسوط در خصوص جواز فسخ نکاح در صورت تبين خنثی بودن بودن زوجه فرموده</w:t>
      </w:r>
      <w:r w:rsidRPr="00F04775">
        <w:rPr>
          <w:rFonts w:cs="B Badr"/>
          <w:sz w:val="32"/>
          <w:szCs w:val="32"/>
          <w:cs/>
          <w:lang w:bidi="fa-IR"/>
        </w:rPr>
        <w:t>‎</w:t>
      </w:r>
      <w:r w:rsidRPr="00F04775">
        <w:rPr>
          <w:rFonts w:cs="B Badr"/>
          <w:sz w:val="32"/>
          <w:szCs w:val="32"/>
          <w:rtl/>
          <w:lang w:bidi="fa-IR"/>
        </w:rPr>
        <w:t>اند، نافی اين احتمال است، زيرا در زنی که دارای آلت زائده مردانه است، وطی امکان</w:t>
      </w:r>
      <w:r w:rsidRPr="00F04775">
        <w:rPr>
          <w:rFonts w:cs="B Badr"/>
          <w:sz w:val="32"/>
          <w:szCs w:val="32"/>
          <w:cs/>
          <w:lang w:bidi="fa-IR"/>
        </w:rPr>
        <w:t>‎</w:t>
      </w:r>
      <w:r w:rsidRPr="00F04775">
        <w:rPr>
          <w:rFonts w:cs="B Badr"/>
          <w:sz w:val="32"/>
          <w:szCs w:val="32"/>
          <w:rtl/>
          <w:lang w:bidi="fa-IR"/>
        </w:rPr>
        <w:t>پذير است.</w:t>
      </w:r>
    </w:p>
    <w:p w14:paraId="269E08FF"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وقال العلامة في القواعد: «لو بان خنثىً فإن أمكن الوطء فلا خيار ـ على رأي ـ وإلا ثبت.»</w:t>
      </w:r>
    </w:p>
    <w:p w14:paraId="17CBF7A8"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 ظاهر کلام ايشان ترديد در موردی است که وطی ممکن باشد.</w:t>
      </w:r>
    </w:p>
    <w:p w14:paraId="5590F1CE"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lastRenderedPageBreak/>
        <w:t>ولکن قال في المختلف: «اختار ابن البرّاج الأوّل وهو المعتمد، لما ذكره الشيخ في</w:t>
      </w:r>
      <w:r>
        <w:rPr>
          <w:rFonts w:cs="B Badr" w:hint="cs"/>
          <w:sz w:val="32"/>
          <w:szCs w:val="32"/>
          <w:rtl/>
          <w:lang w:bidi="fa-IR"/>
        </w:rPr>
        <w:t xml:space="preserve"> </w:t>
      </w:r>
      <w:r w:rsidRPr="00F04775">
        <w:rPr>
          <w:rFonts w:cs="B Badr"/>
          <w:sz w:val="32"/>
          <w:szCs w:val="32"/>
          <w:rtl/>
          <w:lang w:bidi="fa-IR"/>
        </w:rPr>
        <w:t>التعليل، ولا وجه للخيار مع إمكان الوطء وثبوت الرجوليّة.»</w:t>
      </w:r>
    </w:p>
    <w:p w14:paraId="3499448D"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حق نيز اين است که وجهی برای خيار زوج يا زوجه در فرض مسأله وجود ندارد، چون با احراز مرد يا زن بودن خنثی و امکان وطی در صورتی که زوج خنثی باشد، دليلی که بتوان مستمسک برای خيار باشد، وجود نخواهد داشت و بدون احراز اين امر، نکاح فاسد خواهد بود.</w:t>
      </w:r>
    </w:p>
    <w:p w14:paraId="76E7B175"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البته چنانچه مشکل زوج به نحوی باشد که امکان وطی وجود نداشته باشد، می</w:t>
      </w:r>
      <w:r w:rsidRPr="00F04775">
        <w:rPr>
          <w:rFonts w:cs="B Badr"/>
          <w:sz w:val="32"/>
          <w:szCs w:val="32"/>
          <w:cs/>
          <w:lang w:bidi="fa-IR"/>
        </w:rPr>
        <w:t>‎</w:t>
      </w:r>
      <w:r w:rsidRPr="00F04775">
        <w:rPr>
          <w:rFonts w:cs="B Badr"/>
          <w:sz w:val="32"/>
          <w:szCs w:val="32"/>
          <w:rtl/>
          <w:lang w:bidi="fa-IR"/>
        </w:rPr>
        <w:t>توان مورد را مشمول ادله</w:t>
      </w:r>
      <w:r w:rsidRPr="00F04775">
        <w:rPr>
          <w:rFonts w:cs="B Badr"/>
          <w:sz w:val="32"/>
          <w:szCs w:val="32"/>
          <w:cs/>
          <w:lang w:bidi="fa-IR"/>
        </w:rPr>
        <w:t>‎</w:t>
      </w:r>
      <w:r w:rsidRPr="00F04775">
        <w:rPr>
          <w:rFonts w:cs="B Badr"/>
          <w:sz w:val="32"/>
          <w:szCs w:val="32"/>
          <w:rtl/>
          <w:lang w:bidi="fa-IR"/>
        </w:rPr>
        <w:t>ای دانست که دلالت بر حق زوجه برای فسخ نکاح می</w:t>
      </w:r>
      <w:r w:rsidRPr="00F04775">
        <w:rPr>
          <w:rFonts w:cs="B Badr"/>
          <w:sz w:val="32"/>
          <w:szCs w:val="32"/>
          <w:cs/>
          <w:lang w:bidi="fa-IR"/>
        </w:rPr>
        <w:t>‎</w:t>
      </w:r>
      <w:r w:rsidRPr="00F04775">
        <w:rPr>
          <w:rFonts w:cs="B Badr"/>
          <w:sz w:val="32"/>
          <w:szCs w:val="32"/>
          <w:rtl/>
          <w:lang w:bidi="fa-IR"/>
        </w:rPr>
        <w:t>دانند.</w:t>
      </w:r>
    </w:p>
    <w:p w14:paraId="098ABA85"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بنابر اين در خصوص عيوب زوج که زوجه به واسطه آنها حق فسخ پيدا می</w:t>
      </w:r>
      <w:r w:rsidRPr="00F04775">
        <w:rPr>
          <w:rFonts w:cs="B Badr"/>
          <w:sz w:val="32"/>
          <w:szCs w:val="32"/>
          <w:cs/>
          <w:lang w:bidi="fa-IR"/>
        </w:rPr>
        <w:t>‎</w:t>
      </w:r>
      <w:r w:rsidRPr="00F04775">
        <w:rPr>
          <w:rFonts w:cs="B Badr"/>
          <w:sz w:val="32"/>
          <w:szCs w:val="32"/>
          <w:rtl/>
          <w:lang w:bidi="fa-IR"/>
        </w:rPr>
        <w:t>کند، بايد به عنن و جب و جنون بسنده کرد، اما خصاء در صورتی موجب</w:t>
      </w:r>
      <w:r>
        <w:rPr>
          <w:rFonts w:cs="B Badr" w:hint="cs"/>
          <w:sz w:val="32"/>
          <w:szCs w:val="32"/>
          <w:rtl/>
          <w:lang w:bidi="fa-IR"/>
        </w:rPr>
        <w:t xml:space="preserve"> </w:t>
      </w:r>
      <w:r w:rsidRPr="00F04775">
        <w:rPr>
          <w:rFonts w:cs="B Badr"/>
          <w:sz w:val="32"/>
          <w:szCs w:val="32"/>
          <w:rtl/>
          <w:lang w:bidi="fa-IR"/>
        </w:rPr>
        <w:t>حق فسخ می</w:t>
      </w:r>
      <w:r w:rsidRPr="00F04775">
        <w:rPr>
          <w:rFonts w:cs="B Badr"/>
          <w:sz w:val="32"/>
          <w:szCs w:val="32"/>
          <w:cs/>
          <w:lang w:bidi="fa-IR"/>
        </w:rPr>
        <w:t>‎</w:t>
      </w:r>
      <w:r w:rsidRPr="00F04775">
        <w:rPr>
          <w:rFonts w:cs="B Badr"/>
          <w:sz w:val="32"/>
          <w:szCs w:val="32"/>
          <w:rtl/>
          <w:lang w:bidi="fa-IR"/>
        </w:rPr>
        <w:t>شود که همراه با تدليس باشد.</w:t>
      </w:r>
    </w:p>
    <w:p w14:paraId="2A2248A0"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اما در عيوب ديگر دليلی برای حق فسخ زوجه وجود ندارد.</w:t>
      </w:r>
    </w:p>
    <w:p w14:paraId="0048E078"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نعم قال الشهيد الثاني في المسال</w:t>
      </w:r>
      <w:r w:rsidRPr="00F04775">
        <w:rPr>
          <w:rFonts w:cs="B Badr"/>
          <w:sz w:val="32"/>
          <w:szCs w:val="32"/>
          <w:rtl/>
        </w:rPr>
        <w:t>ك</w:t>
      </w:r>
      <w:r w:rsidRPr="00F04775">
        <w:rPr>
          <w:rFonts w:cs="B Badr"/>
          <w:sz w:val="32"/>
          <w:szCs w:val="32"/>
          <w:rtl/>
          <w:lang w:bidi="fa-IR"/>
        </w:rPr>
        <w:t>: «ذهب ابن البرّاج في المهذب إلى اشتراك الرجل والمرأة في كون كلّ من الجنون والجذام والبرص والعمى موجباً للخيار في النكاح. وكذلك ابن الجنيد، وزاد العرج والزنا.</w:t>
      </w:r>
    </w:p>
    <w:p w14:paraId="06D813DE"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ودليلهما في غير الجذام والبرص غير واضح، أمّا فيهما ففي غاية الجودة، لصحيحة الحلبي عن أبي عبد الله(ع): «يردّ النكاح من البرص والجذام والجنون والعفل» وهو متناول بإطلاقه للرجل والمرأة.</w:t>
      </w:r>
    </w:p>
    <w:p w14:paraId="0BE69269"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lastRenderedPageBreak/>
        <w:t>ولأنّ ثبوتهما عيباً في‌ المرأة مع أنّ للرجل وسيلة إلى التخلّص منها بالطلاق يوجب كونهما عيباً في الرجل بالنسبة إليها بطريق أولى، لعدم قدرتها على</w:t>
      </w:r>
      <w:r>
        <w:rPr>
          <w:rFonts w:cs="B Badr" w:hint="cs"/>
          <w:sz w:val="32"/>
          <w:szCs w:val="32"/>
          <w:rtl/>
          <w:lang w:bidi="fa-IR"/>
        </w:rPr>
        <w:t xml:space="preserve"> </w:t>
      </w:r>
      <w:r w:rsidRPr="00F04775">
        <w:rPr>
          <w:rFonts w:cs="B Badr"/>
          <w:sz w:val="32"/>
          <w:szCs w:val="32"/>
          <w:rtl/>
          <w:lang w:bidi="fa-IR"/>
        </w:rPr>
        <w:t>التخلّص لو لا الخيار.</w:t>
      </w:r>
    </w:p>
    <w:p w14:paraId="278B8623"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وحصول الضرر منه بالعدوى باتّفاق الأطبّاء وأهل المعرفة، مضافاً إلى ما اشتهر من قوله(ص): «فرّ من المجذوم فرارك من الأسد».</w:t>
      </w:r>
    </w:p>
    <w:p w14:paraId="2EA5A4D6"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ولأنّ النفرة الناشئة من ذلك المنافية للمقصود من الاستمتاع أزيد من غيره من العيوب المتّفق عليها.»</w:t>
      </w:r>
    </w:p>
    <w:p w14:paraId="3E4AD000"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اما ادله</w:t>
      </w:r>
      <w:r w:rsidRPr="00F04775">
        <w:rPr>
          <w:rFonts w:cs="B Badr"/>
          <w:sz w:val="32"/>
          <w:szCs w:val="32"/>
          <w:cs/>
          <w:lang w:bidi="fa-IR"/>
        </w:rPr>
        <w:t>‎</w:t>
      </w:r>
      <w:r w:rsidRPr="00F04775">
        <w:rPr>
          <w:rFonts w:cs="B Badr"/>
          <w:sz w:val="32"/>
          <w:szCs w:val="32"/>
          <w:rtl/>
          <w:lang w:bidi="fa-IR"/>
        </w:rPr>
        <w:t>ای که برای حق فسخ زوجه در برص و جذام برشمرده</w:t>
      </w:r>
      <w:r w:rsidRPr="00F04775">
        <w:rPr>
          <w:rFonts w:cs="B Badr"/>
          <w:sz w:val="32"/>
          <w:szCs w:val="32"/>
          <w:cs/>
          <w:lang w:bidi="fa-IR"/>
        </w:rPr>
        <w:t>‎</w:t>
      </w:r>
      <w:r w:rsidRPr="00F04775">
        <w:rPr>
          <w:rFonts w:cs="B Badr"/>
          <w:sz w:val="32"/>
          <w:szCs w:val="32"/>
          <w:rtl/>
          <w:lang w:bidi="fa-IR"/>
        </w:rPr>
        <w:t>اند، دارای اشکال است، زيرا اولاً: در خصوص صحيحه حلبی سابقاً گذشت که صدر آن قرينه</w:t>
      </w:r>
      <w:r w:rsidRPr="00F04775">
        <w:rPr>
          <w:rFonts w:cs="B Badr"/>
          <w:sz w:val="32"/>
          <w:szCs w:val="32"/>
          <w:cs/>
          <w:lang w:bidi="fa-IR"/>
        </w:rPr>
        <w:t>‎</w:t>
      </w:r>
      <w:r w:rsidRPr="00F04775">
        <w:rPr>
          <w:rFonts w:cs="B Badr"/>
          <w:sz w:val="32"/>
          <w:szCs w:val="32"/>
          <w:rtl/>
          <w:lang w:bidi="fa-IR"/>
        </w:rPr>
        <w:t>ای بر اين است که در خصوص حق فسخ زوج وارد شده است و آنچه که ايشان بدون صدر ذکر کرده</w:t>
      </w:r>
      <w:r w:rsidRPr="00F04775">
        <w:rPr>
          <w:rFonts w:cs="B Badr"/>
          <w:sz w:val="32"/>
          <w:szCs w:val="32"/>
          <w:cs/>
          <w:lang w:bidi="fa-IR"/>
        </w:rPr>
        <w:t>‎</w:t>
      </w:r>
      <w:r w:rsidRPr="00F04775">
        <w:rPr>
          <w:rFonts w:cs="B Badr"/>
          <w:sz w:val="32"/>
          <w:szCs w:val="32"/>
          <w:rtl/>
          <w:lang w:bidi="fa-IR"/>
        </w:rPr>
        <w:t>اند مبتنی بر نقل شيخ است که روايت را تقطيع کرده است. اگر هم اين مطلب مورد پذيرش واقع نشود اشکال اين است که</w:t>
      </w:r>
      <w:r>
        <w:rPr>
          <w:rFonts w:cs="B Badr" w:hint="cs"/>
          <w:sz w:val="32"/>
          <w:szCs w:val="32"/>
          <w:rtl/>
          <w:lang w:bidi="fa-IR"/>
        </w:rPr>
        <w:t xml:space="preserve"> </w:t>
      </w:r>
      <w:r w:rsidRPr="00F04775">
        <w:rPr>
          <w:rFonts w:cs="B Badr"/>
          <w:sz w:val="32"/>
          <w:szCs w:val="32"/>
          <w:rtl/>
          <w:lang w:bidi="fa-IR"/>
        </w:rPr>
        <w:t>استناد به آن برای حق خيار زوجه مبتنی بر اين است که «يردّ» مجهول خوانده شود در حالی که احتمال دارد که معلوم خوانده شود و بنابر اين روايت مجمل خواهد بود.</w:t>
      </w:r>
    </w:p>
    <w:p w14:paraId="571A6C29"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 xml:space="preserve">و ثانياً: اگر اولويت حق فسخ زوجه به نسبت به زوج، بتواند دليلی برای حق فسخ او باشد، پس در باقی موارد هم که در ادله برای زوج خيار قرار داده شده است، بايد قائل به خيار زوجه نيز بشويم در </w:t>
      </w:r>
      <w:r w:rsidRPr="00F04775">
        <w:rPr>
          <w:rFonts w:cs="B Badr"/>
          <w:sz w:val="32"/>
          <w:szCs w:val="32"/>
          <w:rtl/>
          <w:lang w:bidi="fa-IR"/>
        </w:rPr>
        <w:lastRenderedPageBreak/>
        <w:t>حالی که خود ايشان در خصوص موارد ديگری که در کلام ابن براج و ابن جنيد آمده و برخی از آنها از عيوب زوجه هستند که زوج به واسطه آنها حق فسخ دارد، قائل به عدم وجود دليل شده است.</w:t>
      </w:r>
    </w:p>
    <w:p w14:paraId="2BB44AC5"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 ثالثاً: حصول ضرر برای زوجه سبب ثبوت حق فسخ برای وی نمی</w:t>
      </w:r>
      <w:r w:rsidRPr="00F04775">
        <w:rPr>
          <w:rFonts w:cs="B Badr"/>
          <w:sz w:val="32"/>
          <w:szCs w:val="32"/>
          <w:cs/>
          <w:lang w:bidi="fa-IR"/>
        </w:rPr>
        <w:t>‎</w:t>
      </w:r>
      <w:r w:rsidRPr="00F04775">
        <w:rPr>
          <w:rFonts w:cs="B Badr"/>
          <w:sz w:val="32"/>
          <w:szCs w:val="32"/>
          <w:rtl/>
          <w:lang w:bidi="fa-IR"/>
        </w:rPr>
        <w:t>شود.</w:t>
      </w:r>
    </w:p>
    <w:p w14:paraId="483BBE93"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و رابعاً: نفرتی که به سبب جذام و برص ايجاد می</w:t>
      </w:r>
      <w:r w:rsidRPr="00F04775">
        <w:rPr>
          <w:rFonts w:cs="B Badr"/>
          <w:sz w:val="32"/>
          <w:szCs w:val="32"/>
          <w:cs/>
          <w:lang w:bidi="fa-IR"/>
        </w:rPr>
        <w:t>‎</w:t>
      </w:r>
      <w:r w:rsidRPr="00F04775">
        <w:rPr>
          <w:rFonts w:cs="B Badr"/>
          <w:sz w:val="32"/>
          <w:szCs w:val="32"/>
          <w:rtl/>
          <w:lang w:bidi="fa-IR"/>
        </w:rPr>
        <w:t>شود، دليل بر حق فسخ زن نيست، وگرنه بايد در هر جايی که صورت يا اندام زوج دارای نقصی می</w:t>
      </w:r>
      <w:r w:rsidRPr="00F04775">
        <w:rPr>
          <w:rFonts w:cs="B Badr"/>
          <w:sz w:val="32"/>
          <w:szCs w:val="32"/>
          <w:cs/>
          <w:lang w:bidi="fa-IR"/>
        </w:rPr>
        <w:t>‎</w:t>
      </w:r>
      <w:r w:rsidRPr="00F04775">
        <w:rPr>
          <w:rFonts w:cs="B Badr"/>
          <w:sz w:val="32"/>
          <w:szCs w:val="32"/>
          <w:rtl/>
          <w:lang w:bidi="fa-IR"/>
        </w:rPr>
        <w:t>شود که سبب تشويه آن می</w:t>
      </w:r>
      <w:r w:rsidRPr="00F04775">
        <w:rPr>
          <w:rFonts w:cs="B Badr"/>
          <w:sz w:val="32"/>
          <w:szCs w:val="32"/>
          <w:cs/>
          <w:lang w:bidi="fa-IR"/>
        </w:rPr>
        <w:t>‎</w:t>
      </w:r>
      <w:r w:rsidRPr="00F04775">
        <w:rPr>
          <w:rFonts w:cs="B Badr"/>
          <w:sz w:val="32"/>
          <w:szCs w:val="32"/>
          <w:rtl/>
          <w:lang w:bidi="fa-IR"/>
        </w:rPr>
        <w:t>گردد، قائل به حق فسخ زوجه شويم.</w:t>
      </w:r>
    </w:p>
    <w:p w14:paraId="370AD5C9" w14:textId="52336111" w:rsidR="00F04775" w:rsidRDefault="00F04775" w:rsidP="00F04775">
      <w:pPr>
        <w:bidi/>
        <w:spacing w:line="360" w:lineRule="auto"/>
        <w:jc w:val="both"/>
        <w:rPr>
          <w:rFonts w:cs="B Badr"/>
          <w:sz w:val="32"/>
          <w:szCs w:val="32"/>
          <w:rtl/>
          <w:lang w:bidi="fa-IR"/>
        </w:rPr>
      </w:pPr>
      <w:r w:rsidRPr="00F04775">
        <w:rPr>
          <w:rFonts w:cs="B Badr"/>
          <w:sz w:val="32"/>
          <w:szCs w:val="32"/>
          <w:rtl/>
          <w:lang w:bidi="fa-IR"/>
        </w:rPr>
        <w:t>اما در خصوص حق فسخ به واسطه زنای زوج يا زوجه، تفصيل بحث سابقاً گذشت.</w:t>
      </w:r>
    </w:p>
    <w:p w14:paraId="181F97C7" w14:textId="77777777" w:rsidR="00F04775" w:rsidRPr="00F04775" w:rsidRDefault="00F04775" w:rsidP="00F04775">
      <w:pPr>
        <w:bidi/>
        <w:spacing w:line="360" w:lineRule="auto"/>
        <w:jc w:val="both"/>
        <w:rPr>
          <w:rFonts w:cs="B Badr"/>
          <w:sz w:val="32"/>
          <w:szCs w:val="32"/>
          <w:lang w:bidi="fa-IR"/>
        </w:rPr>
      </w:pPr>
    </w:p>
    <w:p w14:paraId="5FE20D74" w14:textId="77777777" w:rsidR="00F04775" w:rsidRPr="00F04775" w:rsidRDefault="00F04775" w:rsidP="00F04775">
      <w:pPr>
        <w:bidi/>
        <w:spacing w:line="360" w:lineRule="auto"/>
        <w:jc w:val="both"/>
        <w:rPr>
          <w:rFonts w:cs="B Badr"/>
          <w:sz w:val="32"/>
          <w:szCs w:val="32"/>
          <w:highlight w:val="yellow"/>
          <w:lang w:bidi="fa-IR"/>
        </w:rPr>
      </w:pPr>
      <w:r w:rsidRPr="00F04775">
        <w:rPr>
          <w:rFonts w:cs="B Badr"/>
          <w:sz w:val="32"/>
          <w:szCs w:val="32"/>
          <w:highlight w:val="yellow"/>
          <w:rtl/>
          <w:lang w:bidi="fa-IR"/>
        </w:rPr>
        <w:t>قال المحقّق الحلّي</w:t>
      </w:r>
      <w:r w:rsidRPr="00F04775">
        <w:rPr>
          <w:rFonts w:cs="B Badr"/>
          <w:sz w:val="32"/>
          <w:szCs w:val="32"/>
          <w:highlight w:val="yellow"/>
          <w:rtl/>
        </w:rPr>
        <w:t>:</w:t>
      </w:r>
    </w:p>
    <w:p w14:paraId="7E2AFDE5"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highlight w:val="yellow"/>
          <w:rtl/>
          <w:lang w:bidi="fa-IR"/>
        </w:rPr>
        <w:t>«وعيوب المرأة سبعة: الجنون والجذام والبرص والقرن والإفضاء والعرج والعمى.»</w:t>
      </w:r>
    </w:p>
    <w:p w14:paraId="23B18175" w14:textId="3EA5344B" w:rsidR="00F04775" w:rsidRPr="00F04775" w:rsidRDefault="00F04775" w:rsidP="00F04775">
      <w:pPr>
        <w:bidi/>
        <w:spacing w:line="360" w:lineRule="auto"/>
        <w:jc w:val="both"/>
        <w:rPr>
          <w:rFonts w:cs="B Badr"/>
          <w:sz w:val="32"/>
          <w:szCs w:val="32"/>
          <w:lang w:bidi="fa-IR"/>
        </w:rPr>
      </w:pPr>
    </w:p>
    <w:p w14:paraId="2A7EEEF0" w14:textId="6BC02591" w:rsidR="00F04775" w:rsidRPr="00F04775" w:rsidRDefault="00F04775" w:rsidP="00F04775">
      <w:pPr>
        <w:bidi/>
        <w:spacing w:line="360" w:lineRule="auto"/>
        <w:jc w:val="both"/>
        <w:rPr>
          <w:rFonts w:cs="B Badr"/>
          <w:sz w:val="32"/>
          <w:szCs w:val="32"/>
          <w:lang w:bidi="fa-IR"/>
        </w:rPr>
      </w:pPr>
    </w:p>
    <w:p w14:paraId="63C33E0F"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رواياتی را که در خصوص عيوب موجب حق فسخ در زوجه وارد شده</w:t>
      </w:r>
      <w:r w:rsidRPr="00F04775">
        <w:rPr>
          <w:rFonts w:cs="B Badr"/>
          <w:sz w:val="32"/>
          <w:szCs w:val="32"/>
          <w:cs/>
          <w:lang w:bidi="fa-IR"/>
        </w:rPr>
        <w:t>‎</w:t>
      </w:r>
      <w:r w:rsidRPr="00F04775">
        <w:rPr>
          <w:rFonts w:cs="B Badr"/>
          <w:sz w:val="32"/>
          <w:szCs w:val="32"/>
          <w:rtl/>
          <w:lang w:bidi="fa-IR"/>
        </w:rPr>
        <w:t>اند، می</w:t>
      </w:r>
      <w:r w:rsidRPr="00F04775">
        <w:rPr>
          <w:rFonts w:cs="B Badr"/>
          <w:sz w:val="32"/>
          <w:szCs w:val="32"/>
          <w:cs/>
          <w:lang w:bidi="fa-IR"/>
        </w:rPr>
        <w:t>‎</w:t>
      </w:r>
      <w:r w:rsidRPr="00F04775">
        <w:rPr>
          <w:rFonts w:cs="B Badr"/>
          <w:sz w:val="32"/>
          <w:szCs w:val="32"/>
          <w:rtl/>
          <w:lang w:bidi="fa-IR"/>
        </w:rPr>
        <w:t>توان به دو دسته تقسيم کرد:</w:t>
      </w:r>
    </w:p>
    <w:p w14:paraId="5430A056" w14:textId="77777777" w:rsidR="00F04775" w:rsidRPr="00F04775" w:rsidRDefault="00F04775" w:rsidP="00F04775">
      <w:pPr>
        <w:bidi/>
        <w:spacing w:line="360" w:lineRule="auto"/>
        <w:jc w:val="both"/>
        <w:rPr>
          <w:rFonts w:cs="B Badr"/>
          <w:b/>
          <w:bCs/>
          <w:sz w:val="32"/>
          <w:szCs w:val="32"/>
          <w:lang w:bidi="fa-IR"/>
        </w:rPr>
      </w:pPr>
      <w:r w:rsidRPr="00F04775">
        <w:rPr>
          <w:rFonts w:cs="B Badr"/>
          <w:b/>
          <w:bCs/>
          <w:sz w:val="32"/>
          <w:szCs w:val="32"/>
          <w:rtl/>
          <w:lang w:bidi="fa-IR"/>
        </w:rPr>
        <w:lastRenderedPageBreak/>
        <w:t>دسته اول: رواياتی که دلالت بر حق فسخ به مجرد وجود عيب دارند:</w:t>
      </w:r>
    </w:p>
    <w:p w14:paraId="6883E9BE"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1 ـ صحيحة عبد الرحمن بن أبي عبد الله عن أبي عبدالله(ع) قال: «المرأة تردّ من أربعة أشياء: من البرص والجذام والجنون والقرن ـ وهو العفل ـ ما لم يقع عليها، فإذا وقع عليها فلا.»</w:t>
      </w:r>
    </w:p>
    <w:p w14:paraId="431054C7"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2 ـ خبر الحسن بن صالح، قال: «سألت أبا عبدالله(ع) عن رجل تزوّج امرأة فوجد بها قرناً؟ قال: هذه لا تحبل [تردّ على أهلها، من] ينقبض زوجها عن مجامعتها تردّ على أهلها. قلت: فإن كان دخل بها؟ قال: إن كان علم بها قبل أن يجامعها ثمّ جامعها فقد رضي بها، وإن لم يعلم إلا بعدما جامعها فإن شاء بعدُ</w:t>
      </w:r>
      <w:r>
        <w:rPr>
          <w:rFonts w:cs="B Badr" w:hint="cs"/>
          <w:sz w:val="32"/>
          <w:szCs w:val="32"/>
          <w:rtl/>
          <w:lang w:bidi="fa-IR"/>
        </w:rPr>
        <w:t xml:space="preserve"> </w:t>
      </w:r>
      <w:r w:rsidRPr="00F04775">
        <w:rPr>
          <w:rFonts w:cs="B Badr"/>
          <w:sz w:val="32"/>
          <w:szCs w:val="32"/>
          <w:rtl/>
          <w:lang w:bidi="fa-IR"/>
        </w:rPr>
        <w:t>أمسكها وإن شاء سرّحها إلى أهلها، ولها ما أخذت منه بما استحلّ من فرجها.»</w:t>
      </w:r>
    </w:p>
    <w:p w14:paraId="649130A8" w14:textId="77777777" w:rsidR="00F04775" w:rsidRPr="00F04775" w:rsidRDefault="00F04775" w:rsidP="00F04775">
      <w:pPr>
        <w:bidi/>
        <w:spacing w:line="360" w:lineRule="auto"/>
        <w:jc w:val="both"/>
        <w:rPr>
          <w:rFonts w:cs="B Badr"/>
          <w:sz w:val="32"/>
          <w:szCs w:val="32"/>
          <w:lang w:bidi="fa-IR"/>
        </w:rPr>
      </w:pPr>
      <w:r w:rsidRPr="00F04775">
        <w:rPr>
          <w:rFonts w:cs="B Badr"/>
          <w:sz w:val="32"/>
          <w:szCs w:val="32"/>
          <w:rtl/>
          <w:lang w:bidi="fa-IR"/>
        </w:rPr>
        <w:t>3 ـ صحيحة أبي الصبّاح، قال: «سألت أبا عبدالله(ع) عن رجل تزوّج امرأة فوجد بها قرناً؟ قال: فقال: هذه لا تحبل ولا يقدر زوجها على مجامعتها، يردّها على أهلها صاغرة ولا مهر لها. قلت: فإن كان دخل بها؟ قال إن كان علم بذلك قبل أن ينكحها ـ يعني المجامعة ـ ثمّ جامعها، فقد رضي بها، وإن لم يعلم إلا بعدما جامعها فإن شاء بعدُ أمسك وإن شاء طلّق.»</w:t>
      </w:r>
    </w:p>
    <w:p w14:paraId="27AB0A72" w14:textId="3104791F" w:rsidR="00F04775" w:rsidRPr="00F04775" w:rsidRDefault="00F04775" w:rsidP="00F04775">
      <w:pPr>
        <w:bidi/>
        <w:spacing w:line="360" w:lineRule="auto"/>
        <w:jc w:val="both"/>
        <w:rPr>
          <w:rFonts w:cs="B Badr"/>
          <w:sz w:val="32"/>
          <w:szCs w:val="32"/>
          <w:lang w:bidi="fa-IR"/>
        </w:rPr>
      </w:pPr>
    </w:p>
    <w:p w14:paraId="318FC659" w14:textId="62A13362" w:rsidR="00F04775" w:rsidRPr="00F04775" w:rsidRDefault="00F04775" w:rsidP="00F04775">
      <w:pPr>
        <w:bidi/>
        <w:spacing w:line="360" w:lineRule="auto"/>
        <w:jc w:val="both"/>
        <w:rPr>
          <w:rFonts w:cs="B Badr"/>
          <w:sz w:val="32"/>
          <w:szCs w:val="32"/>
          <w:lang w:bidi="fa-IR"/>
        </w:rPr>
      </w:pPr>
    </w:p>
    <w:p w14:paraId="06E8936B" w14:textId="73B90D16" w:rsidR="00F04775" w:rsidRPr="00F04775" w:rsidRDefault="00F04775" w:rsidP="00F04775">
      <w:pPr>
        <w:bidi/>
        <w:spacing w:line="360" w:lineRule="auto"/>
        <w:jc w:val="both"/>
        <w:rPr>
          <w:rFonts w:cs="B Badr"/>
          <w:sz w:val="32"/>
          <w:szCs w:val="32"/>
          <w:lang w:bidi="fa-IR"/>
        </w:rPr>
      </w:pPr>
    </w:p>
    <w:p w14:paraId="4D148103" w14:textId="236C29DE" w:rsidR="00F04775" w:rsidRPr="00F04775" w:rsidRDefault="00F04775" w:rsidP="00F04775">
      <w:pPr>
        <w:bidi/>
        <w:spacing w:line="360" w:lineRule="auto"/>
        <w:jc w:val="both"/>
        <w:rPr>
          <w:rFonts w:cs="B Badr"/>
          <w:sz w:val="32"/>
          <w:szCs w:val="32"/>
          <w:lang w:bidi="fa-IR"/>
        </w:rPr>
      </w:pPr>
    </w:p>
    <w:p w14:paraId="56487B38" w14:textId="26A636E5" w:rsidR="00F04775" w:rsidRPr="00F04775" w:rsidRDefault="00F04775" w:rsidP="00F04775">
      <w:pPr>
        <w:bidi/>
        <w:spacing w:line="360" w:lineRule="auto"/>
        <w:jc w:val="both"/>
        <w:rPr>
          <w:rFonts w:cs="B Badr"/>
          <w:sz w:val="32"/>
          <w:szCs w:val="32"/>
        </w:rPr>
      </w:pPr>
    </w:p>
    <w:p w14:paraId="7FEA1907" w14:textId="171DCA04" w:rsidR="00AC70A6" w:rsidRPr="00F04775" w:rsidRDefault="00AC70A6" w:rsidP="00F04775">
      <w:pPr>
        <w:bidi/>
        <w:spacing w:line="360" w:lineRule="auto"/>
        <w:jc w:val="both"/>
        <w:rPr>
          <w:rFonts w:cs="B Badr"/>
          <w:sz w:val="32"/>
          <w:szCs w:val="32"/>
        </w:rPr>
      </w:pPr>
    </w:p>
    <w:sectPr w:rsidR="00AC70A6" w:rsidRPr="00F04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44511"/>
    <w:rsid w:val="00163614"/>
    <w:rsid w:val="00174BDF"/>
    <w:rsid w:val="001A4D45"/>
    <w:rsid w:val="001B18C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4AA1"/>
    <w:rsid w:val="009A7ED2"/>
    <w:rsid w:val="009D664E"/>
    <w:rsid w:val="00A0047F"/>
    <w:rsid w:val="00A06F9B"/>
    <w:rsid w:val="00A463CD"/>
    <w:rsid w:val="00A46CE0"/>
    <w:rsid w:val="00A53FAD"/>
    <w:rsid w:val="00A56C6A"/>
    <w:rsid w:val="00A7012C"/>
    <w:rsid w:val="00A74A3A"/>
    <w:rsid w:val="00AC70A6"/>
    <w:rsid w:val="00AD14AC"/>
    <w:rsid w:val="00B00517"/>
    <w:rsid w:val="00B35D26"/>
    <w:rsid w:val="00B4149D"/>
    <w:rsid w:val="00BC3B06"/>
    <w:rsid w:val="00BE7860"/>
    <w:rsid w:val="00BF7D51"/>
    <w:rsid w:val="00C33EAF"/>
    <w:rsid w:val="00C45D16"/>
    <w:rsid w:val="00C61C52"/>
    <w:rsid w:val="00C67F54"/>
    <w:rsid w:val="00CA0BEA"/>
    <w:rsid w:val="00CF163D"/>
    <w:rsid w:val="00CF4173"/>
    <w:rsid w:val="00D00AB0"/>
    <w:rsid w:val="00D072D0"/>
    <w:rsid w:val="00DF1F84"/>
    <w:rsid w:val="00E52172"/>
    <w:rsid w:val="00E64D2F"/>
    <w:rsid w:val="00E73797"/>
    <w:rsid w:val="00E753CE"/>
    <w:rsid w:val="00F04775"/>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56784450">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06658734">
      <w:bodyDiv w:val="1"/>
      <w:marLeft w:val="0"/>
      <w:marRight w:val="0"/>
      <w:marTop w:val="0"/>
      <w:marBottom w:val="0"/>
      <w:divBdr>
        <w:top w:val="none" w:sz="0" w:space="0" w:color="auto"/>
        <w:left w:val="none" w:sz="0" w:space="0" w:color="auto"/>
        <w:bottom w:val="none" w:sz="0" w:space="0" w:color="auto"/>
        <w:right w:val="none" w:sz="0" w:space="0" w:color="auto"/>
      </w:divBdr>
    </w:div>
    <w:div w:id="118956877">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2672709">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6919676">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3039022">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26575469">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3019350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67156684">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1623094">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39746987">
      <w:bodyDiv w:val="1"/>
      <w:marLeft w:val="0"/>
      <w:marRight w:val="0"/>
      <w:marTop w:val="0"/>
      <w:marBottom w:val="0"/>
      <w:divBdr>
        <w:top w:val="none" w:sz="0" w:space="0" w:color="auto"/>
        <w:left w:val="none" w:sz="0" w:space="0" w:color="auto"/>
        <w:bottom w:val="none" w:sz="0" w:space="0" w:color="auto"/>
        <w:right w:val="none" w:sz="0" w:space="0" w:color="auto"/>
      </w:divBdr>
    </w:div>
    <w:div w:id="341401490">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6873781">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5276097">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1543807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29543781">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047304">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08565619">
      <w:bodyDiv w:val="1"/>
      <w:marLeft w:val="0"/>
      <w:marRight w:val="0"/>
      <w:marTop w:val="0"/>
      <w:marBottom w:val="0"/>
      <w:divBdr>
        <w:top w:val="none" w:sz="0" w:space="0" w:color="auto"/>
        <w:left w:val="none" w:sz="0" w:space="0" w:color="auto"/>
        <w:bottom w:val="none" w:sz="0" w:space="0" w:color="auto"/>
        <w:right w:val="none" w:sz="0" w:space="0" w:color="auto"/>
      </w:divBdr>
    </w:div>
    <w:div w:id="51049010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6504101">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43714343">
      <w:bodyDiv w:val="1"/>
      <w:marLeft w:val="0"/>
      <w:marRight w:val="0"/>
      <w:marTop w:val="0"/>
      <w:marBottom w:val="0"/>
      <w:divBdr>
        <w:top w:val="none" w:sz="0" w:space="0" w:color="auto"/>
        <w:left w:val="none" w:sz="0" w:space="0" w:color="auto"/>
        <w:bottom w:val="none" w:sz="0" w:space="0" w:color="auto"/>
        <w:right w:val="none" w:sz="0" w:space="0" w:color="auto"/>
      </w:divBdr>
    </w:div>
    <w:div w:id="553737181">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4819218">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78293528">
      <w:bodyDiv w:val="1"/>
      <w:marLeft w:val="0"/>
      <w:marRight w:val="0"/>
      <w:marTop w:val="0"/>
      <w:marBottom w:val="0"/>
      <w:divBdr>
        <w:top w:val="none" w:sz="0" w:space="0" w:color="auto"/>
        <w:left w:val="none" w:sz="0" w:space="0" w:color="auto"/>
        <w:bottom w:val="none" w:sz="0" w:space="0" w:color="auto"/>
        <w:right w:val="none" w:sz="0" w:space="0" w:color="auto"/>
      </w:divBdr>
    </w:div>
    <w:div w:id="599485696">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3706139">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0956981">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7823868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13428466">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214560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68232070">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515">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795375002">
      <w:bodyDiv w:val="1"/>
      <w:marLeft w:val="0"/>
      <w:marRight w:val="0"/>
      <w:marTop w:val="0"/>
      <w:marBottom w:val="0"/>
      <w:divBdr>
        <w:top w:val="none" w:sz="0" w:space="0" w:color="auto"/>
        <w:left w:val="none" w:sz="0" w:space="0" w:color="auto"/>
        <w:bottom w:val="none" w:sz="0" w:space="0" w:color="auto"/>
        <w:right w:val="none" w:sz="0" w:space="0" w:color="auto"/>
      </w:divBdr>
    </w:div>
    <w:div w:id="80119002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1848229">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6551222">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374029">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35849088">
      <w:bodyDiv w:val="1"/>
      <w:marLeft w:val="0"/>
      <w:marRight w:val="0"/>
      <w:marTop w:val="0"/>
      <w:marBottom w:val="0"/>
      <w:divBdr>
        <w:top w:val="none" w:sz="0" w:space="0" w:color="auto"/>
        <w:left w:val="none" w:sz="0" w:space="0" w:color="auto"/>
        <w:bottom w:val="none" w:sz="0" w:space="0" w:color="auto"/>
        <w:right w:val="none" w:sz="0" w:space="0" w:color="auto"/>
      </w:divBdr>
    </w:div>
    <w:div w:id="837310297">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48839055">
      <w:bodyDiv w:val="1"/>
      <w:marLeft w:val="0"/>
      <w:marRight w:val="0"/>
      <w:marTop w:val="0"/>
      <w:marBottom w:val="0"/>
      <w:divBdr>
        <w:top w:val="none" w:sz="0" w:space="0" w:color="auto"/>
        <w:left w:val="none" w:sz="0" w:space="0" w:color="auto"/>
        <w:bottom w:val="none" w:sz="0" w:space="0" w:color="auto"/>
        <w:right w:val="none" w:sz="0" w:space="0" w:color="auto"/>
      </w:divBdr>
    </w:div>
    <w:div w:id="853305192">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892931139">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57706842">
      <w:bodyDiv w:val="1"/>
      <w:marLeft w:val="0"/>
      <w:marRight w:val="0"/>
      <w:marTop w:val="0"/>
      <w:marBottom w:val="0"/>
      <w:divBdr>
        <w:top w:val="none" w:sz="0" w:space="0" w:color="auto"/>
        <w:left w:val="none" w:sz="0" w:space="0" w:color="auto"/>
        <w:bottom w:val="none" w:sz="0" w:space="0" w:color="auto"/>
        <w:right w:val="none" w:sz="0" w:space="0" w:color="auto"/>
      </w:divBdr>
    </w:div>
    <w:div w:id="1059286081">
      <w:bodyDiv w:val="1"/>
      <w:marLeft w:val="0"/>
      <w:marRight w:val="0"/>
      <w:marTop w:val="0"/>
      <w:marBottom w:val="0"/>
      <w:divBdr>
        <w:top w:val="none" w:sz="0" w:space="0" w:color="auto"/>
        <w:left w:val="none" w:sz="0" w:space="0" w:color="auto"/>
        <w:bottom w:val="none" w:sz="0" w:space="0" w:color="auto"/>
        <w:right w:val="none" w:sz="0" w:space="0" w:color="auto"/>
      </w:divBdr>
    </w:div>
    <w:div w:id="1066805356">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3182">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0303094">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48127395">
      <w:bodyDiv w:val="1"/>
      <w:marLeft w:val="0"/>
      <w:marRight w:val="0"/>
      <w:marTop w:val="0"/>
      <w:marBottom w:val="0"/>
      <w:divBdr>
        <w:top w:val="none" w:sz="0" w:space="0" w:color="auto"/>
        <w:left w:val="none" w:sz="0" w:space="0" w:color="auto"/>
        <w:bottom w:val="none" w:sz="0" w:space="0" w:color="auto"/>
        <w:right w:val="none" w:sz="0" w:space="0" w:color="auto"/>
      </w:divBdr>
    </w:div>
    <w:div w:id="1154834183">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15386021">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39555120">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6946113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5714754">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068589">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40231240">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83750351">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09767777">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31195401">
      <w:bodyDiv w:val="1"/>
      <w:marLeft w:val="0"/>
      <w:marRight w:val="0"/>
      <w:marTop w:val="0"/>
      <w:marBottom w:val="0"/>
      <w:divBdr>
        <w:top w:val="none" w:sz="0" w:space="0" w:color="auto"/>
        <w:left w:val="none" w:sz="0" w:space="0" w:color="auto"/>
        <w:bottom w:val="none" w:sz="0" w:space="0" w:color="auto"/>
        <w:right w:val="none" w:sz="0" w:space="0" w:color="auto"/>
      </w:divBdr>
    </w:div>
    <w:div w:id="1441073332">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577612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498962786">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0118646">
      <w:bodyDiv w:val="1"/>
      <w:marLeft w:val="0"/>
      <w:marRight w:val="0"/>
      <w:marTop w:val="0"/>
      <w:marBottom w:val="0"/>
      <w:divBdr>
        <w:top w:val="none" w:sz="0" w:space="0" w:color="auto"/>
        <w:left w:val="none" w:sz="0" w:space="0" w:color="auto"/>
        <w:bottom w:val="none" w:sz="0" w:space="0" w:color="auto"/>
        <w:right w:val="none" w:sz="0" w:space="0" w:color="auto"/>
      </w:divBdr>
    </w:div>
    <w:div w:id="1594316852">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08922778">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07826269">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40676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25984095">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03964559">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49632285">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62086662">
      <w:bodyDiv w:val="1"/>
      <w:marLeft w:val="0"/>
      <w:marRight w:val="0"/>
      <w:marTop w:val="0"/>
      <w:marBottom w:val="0"/>
      <w:divBdr>
        <w:top w:val="none" w:sz="0" w:space="0" w:color="auto"/>
        <w:left w:val="none" w:sz="0" w:space="0" w:color="auto"/>
        <w:bottom w:val="none" w:sz="0" w:space="0" w:color="auto"/>
        <w:right w:val="none" w:sz="0" w:space="0" w:color="auto"/>
      </w:divBdr>
    </w:div>
    <w:div w:id="1866670493">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84946439">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29995603">
      <w:bodyDiv w:val="1"/>
      <w:marLeft w:val="0"/>
      <w:marRight w:val="0"/>
      <w:marTop w:val="0"/>
      <w:marBottom w:val="0"/>
      <w:divBdr>
        <w:top w:val="none" w:sz="0" w:space="0" w:color="auto"/>
        <w:left w:val="none" w:sz="0" w:space="0" w:color="auto"/>
        <w:bottom w:val="none" w:sz="0" w:space="0" w:color="auto"/>
        <w:right w:val="none" w:sz="0" w:space="0" w:color="auto"/>
      </w:divBdr>
    </w:div>
    <w:div w:id="1935480358">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6816800">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59337654">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1990204216">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36497877">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74310829">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2022-03-07T08:36:00Z</dcterms:created>
  <dcterms:modified xsi:type="dcterms:W3CDTF">2022-03-07T08:36:00Z</dcterms:modified>
</cp:coreProperties>
</file>