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C769" w14:textId="108B2913" w:rsidR="006F3D95" w:rsidRPr="00E73797" w:rsidRDefault="0035070B" w:rsidP="00E73797">
      <w:pPr>
        <w:bidi/>
        <w:spacing w:line="360" w:lineRule="auto"/>
        <w:jc w:val="center"/>
        <w:rPr>
          <w:rFonts w:cs="B Badr"/>
          <w:sz w:val="32"/>
          <w:szCs w:val="32"/>
        </w:rPr>
      </w:pPr>
      <w:r w:rsidRPr="00AC70A6">
        <w:rPr>
          <w:rFonts w:cs="B Jadid"/>
          <w:sz w:val="28"/>
          <w:szCs w:val="28"/>
          <w:rtl/>
        </w:rPr>
        <w:t xml:space="preserve">درس خارج فقه کتاب نکاح جلسه </w:t>
      </w:r>
      <w:r w:rsidRPr="00AC70A6">
        <w:rPr>
          <w:rFonts w:cs="B Jadid" w:hint="cs"/>
          <w:sz w:val="28"/>
          <w:szCs w:val="28"/>
          <w:rtl/>
        </w:rPr>
        <w:t>چهارصد و</w:t>
      </w:r>
      <w:r w:rsidR="009A4AA1">
        <w:rPr>
          <w:rFonts w:cs="B Jadid" w:hint="cs"/>
          <w:sz w:val="28"/>
          <w:szCs w:val="28"/>
          <w:rtl/>
          <w:lang w:bidi="fa-IR"/>
        </w:rPr>
        <w:t xml:space="preserve"> شصت</w:t>
      </w:r>
      <w:r w:rsidR="00E73797">
        <w:rPr>
          <w:rFonts w:cs="B Jadid" w:hint="cs"/>
          <w:sz w:val="28"/>
          <w:szCs w:val="28"/>
          <w:rtl/>
          <w:lang w:bidi="fa-IR"/>
        </w:rPr>
        <w:t xml:space="preserve"> و یکم </w:t>
      </w:r>
      <w:r w:rsidR="006F3D95">
        <w:rPr>
          <w:rFonts w:cs="B Jadid" w:hint="cs"/>
          <w:sz w:val="28"/>
          <w:szCs w:val="28"/>
          <w:rtl/>
          <w:lang w:bidi="fa-IR"/>
        </w:rPr>
        <w:t xml:space="preserve"> </w:t>
      </w:r>
      <w:r w:rsidR="005327EB">
        <w:rPr>
          <w:rFonts w:cs="B Jadid" w:hint="cs"/>
          <w:sz w:val="28"/>
          <w:szCs w:val="28"/>
          <w:rtl/>
          <w:lang w:bidi="fa-IR"/>
        </w:rPr>
        <w:t>شنبه</w:t>
      </w:r>
      <w:r w:rsidR="00354904" w:rsidRPr="00AC70A6">
        <w:rPr>
          <w:rFonts w:cs="B Jadid" w:hint="cs"/>
          <w:sz w:val="28"/>
          <w:szCs w:val="28"/>
          <w:rtl/>
          <w:lang w:bidi="fa-IR"/>
        </w:rPr>
        <w:t xml:space="preserve"> </w:t>
      </w:r>
      <w:r w:rsidR="00E73797">
        <w:rPr>
          <w:rFonts w:cs="B Jadid" w:hint="cs"/>
          <w:sz w:val="28"/>
          <w:szCs w:val="28"/>
          <w:rtl/>
          <w:lang w:bidi="fa-IR"/>
        </w:rPr>
        <w:t>7</w:t>
      </w:r>
      <w:r w:rsidRPr="00AC70A6">
        <w:rPr>
          <w:rFonts w:cs="B Jadid" w:hint="cs"/>
          <w:sz w:val="28"/>
          <w:szCs w:val="28"/>
          <w:rtl/>
        </w:rPr>
        <w:t>/</w:t>
      </w:r>
      <w:r w:rsidR="004B6D1E" w:rsidRPr="00AC70A6">
        <w:rPr>
          <w:rFonts w:cs="B Jadid" w:hint="cs"/>
          <w:sz w:val="28"/>
          <w:szCs w:val="28"/>
          <w:rtl/>
        </w:rPr>
        <w:t>1</w:t>
      </w:r>
      <w:r w:rsidR="00CF4173" w:rsidRPr="00AC70A6">
        <w:rPr>
          <w:rFonts w:cs="B Jadid" w:hint="cs"/>
          <w:sz w:val="28"/>
          <w:szCs w:val="28"/>
          <w:rtl/>
        </w:rPr>
        <w:t>2</w:t>
      </w:r>
      <w:r w:rsidRPr="00AC70A6">
        <w:rPr>
          <w:rFonts w:cs="B Jadid" w:hint="cs"/>
          <w:sz w:val="28"/>
          <w:szCs w:val="28"/>
          <w:rtl/>
        </w:rPr>
        <w:t>/1400</w:t>
      </w:r>
    </w:p>
    <w:p w14:paraId="68D0B12D"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اما آنچه که در کلام ابن حمزه و کاشف اللثام گذشت مبنی بر اين که جواز فسخ منوط بر عدم قدرت خصی بر وطی است، مخالف با ظاهر رواياتی است که ظهور در جواز فسخ بعد از وطی دارند.</w:t>
      </w:r>
    </w:p>
    <w:p w14:paraId="292A094E"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اما اطلاقات روايات هم شامل نکاح دائم است و هم نکاح موقت.</w:t>
      </w:r>
    </w:p>
    <w:p w14:paraId="4CB3B5C6"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همچنان که اطلاق آنها هم جواز فسخ قبل از وطی را شامل می</w:t>
      </w:r>
      <w:r w:rsidRPr="00E73797">
        <w:rPr>
          <w:rFonts w:cs="B Badr"/>
          <w:sz w:val="32"/>
          <w:szCs w:val="32"/>
          <w:cs/>
          <w:lang w:bidi="fa-IR"/>
        </w:rPr>
        <w:t>‎</w:t>
      </w:r>
      <w:r w:rsidRPr="00E73797">
        <w:rPr>
          <w:rFonts w:cs="B Badr"/>
          <w:sz w:val="32"/>
          <w:szCs w:val="32"/>
          <w:rtl/>
          <w:lang w:bidi="fa-IR"/>
        </w:rPr>
        <w:t>شود و هم بعد از وطی را.</w:t>
      </w:r>
    </w:p>
    <w:p w14:paraId="25514EDD"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اما چنانچه خصاء بعد از عقد و قبل از وطی يا بعد از عقد و وطی رخ بدهد، آيا زن باز هم حق فسخ خواهد داشت؟</w:t>
      </w:r>
    </w:p>
    <w:p w14:paraId="755F4DE2" w14:textId="77777777" w:rsidR="00E73797" w:rsidRPr="00E73797" w:rsidRDefault="00E73797" w:rsidP="00E73797">
      <w:pPr>
        <w:bidi/>
        <w:spacing w:line="360" w:lineRule="auto"/>
        <w:rPr>
          <w:rFonts w:cs="B Badr"/>
          <w:sz w:val="32"/>
          <w:szCs w:val="32"/>
          <w:lang w:bidi="fa-IR"/>
        </w:rPr>
      </w:pPr>
      <w:r w:rsidRPr="00E73797">
        <w:rPr>
          <w:rFonts w:cs="B Badr"/>
          <w:sz w:val="32"/>
          <w:szCs w:val="32"/>
          <w:rtl/>
          <w:lang w:bidi="fa-IR"/>
        </w:rPr>
        <w:t>قال ابن البرّاج في المهذّب: «إذا حدث بالرجل أو المرأة شي‌ء من هذه العيوب بعد ثبوت العقد واستقراره ولم يكن حاصلاً قبل العقد، لم يجب الردّ منه إلا ما</w:t>
      </w:r>
      <w:r>
        <w:rPr>
          <w:rFonts w:cs="B Badr" w:hint="cs"/>
          <w:sz w:val="32"/>
          <w:szCs w:val="32"/>
          <w:rtl/>
          <w:lang w:bidi="fa-IR"/>
        </w:rPr>
        <w:t xml:space="preserve"> </w:t>
      </w:r>
      <w:r w:rsidRPr="00E73797">
        <w:rPr>
          <w:rFonts w:cs="B Badr"/>
          <w:sz w:val="32"/>
          <w:szCs w:val="32"/>
          <w:rtl/>
          <w:lang w:bidi="fa-IR"/>
        </w:rPr>
        <w:t>ذكره أصحابنا من الجنون الذي لا يعقل معه صاحبه أوقات الصلوات، والجبّ والخصاء والعنت.»</w:t>
      </w:r>
    </w:p>
    <w:p w14:paraId="643BD74D" w14:textId="77777777" w:rsidR="00E73797" w:rsidRPr="00E73797" w:rsidRDefault="00E73797" w:rsidP="00E73797">
      <w:pPr>
        <w:bidi/>
        <w:spacing w:line="360" w:lineRule="auto"/>
        <w:jc w:val="both"/>
        <w:rPr>
          <w:rFonts w:cs="B Badr"/>
          <w:sz w:val="32"/>
          <w:szCs w:val="32"/>
          <w:lang w:bidi="fa-IR"/>
        </w:rPr>
      </w:pPr>
      <w:r w:rsidRPr="00E73797">
        <w:rPr>
          <w:rFonts w:cs="B Badr"/>
          <w:sz w:val="32"/>
          <w:szCs w:val="32"/>
          <w:rtl/>
          <w:lang w:bidi="fa-IR"/>
        </w:rPr>
        <w:t>اما مدعای ايشان وجه صحيحی ندارد، چون در هيچ يک از اخبار مطلبی که ولو به اطلاق خود دلالت بر چنين حکمی داشته باشد وجود ندارد، خصوصاً که گفته شد که جواز فسخ با خصاء مبتنی بر تدليس است و معلوم است که تدليس بعد از عقد معنايی ندارد.</w:t>
      </w:r>
    </w:p>
    <w:p w14:paraId="66BF9D15" w14:textId="77777777" w:rsidR="00E73797" w:rsidRPr="00E73797" w:rsidRDefault="00E73797" w:rsidP="00E73797">
      <w:pPr>
        <w:bidi/>
        <w:spacing w:line="360" w:lineRule="auto"/>
        <w:jc w:val="both"/>
        <w:rPr>
          <w:rFonts w:cs="B Badr"/>
          <w:sz w:val="32"/>
          <w:szCs w:val="32"/>
          <w:lang w:bidi="fa-IR"/>
        </w:rPr>
      </w:pPr>
      <w:r w:rsidRPr="00E73797">
        <w:rPr>
          <w:rFonts w:cs="B Badr"/>
          <w:sz w:val="32"/>
          <w:szCs w:val="32"/>
          <w:rtl/>
          <w:lang w:bidi="fa-IR"/>
        </w:rPr>
        <w:lastRenderedPageBreak/>
        <w:t xml:space="preserve">قال الفيض الکاشاني في المفاتيح: «في المتجدّد خلاف والأصحّ عدم الخيار سيّما إذا حدث بعد الوطء، لعدم شمول النصوص له، لأنّها وردت بلفظ التدليس.» </w:t>
      </w:r>
    </w:p>
    <w:p w14:paraId="5FFA0EFC" w14:textId="77777777" w:rsidR="00E73797" w:rsidRPr="00E73797" w:rsidRDefault="00E73797" w:rsidP="00E73797">
      <w:pPr>
        <w:bidi/>
        <w:spacing w:line="360" w:lineRule="auto"/>
        <w:jc w:val="both"/>
        <w:rPr>
          <w:rFonts w:cs="B Badr"/>
          <w:sz w:val="32"/>
          <w:szCs w:val="32"/>
          <w:lang w:bidi="fa-IR"/>
        </w:rPr>
      </w:pPr>
      <w:r w:rsidRPr="00E73797">
        <w:rPr>
          <w:rFonts w:cs="B Badr"/>
          <w:sz w:val="32"/>
          <w:szCs w:val="32"/>
          <w:rtl/>
          <w:lang w:bidi="fa-IR"/>
        </w:rPr>
        <w:t>بنابر اين حکم به جواز فسخ متوقف بر وجود خصاء قبل از عقد و تدليس زوج است.</w:t>
      </w:r>
    </w:p>
    <w:p w14:paraId="22826388"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قال الصدوق في المقنع: «إن دلّس خصيّ نفسه لامرأة فرّق بينهما وتأخذ منه صداقها ويوجع ظهره.»</w:t>
      </w:r>
    </w:p>
    <w:p w14:paraId="7F312AF9"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اما در خصوص الحاق وجاء به خصاء در کلمات اصحاب ترديد وجود دارد.</w:t>
      </w:r>
    </w:p>
    <w:p w14:paraId="1C4A991B"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قال السيّد العاملي في نهاية المرام: «أمّا الوجاء فإن كان من أفراد الخصاء، تناولته الروايات المتضمّنة لحكمه وإلا وجب التمسّك فيه بمقتضى لزوم العقد إلى أن يثبت دليل الجواز.»</w:t>
      </w:r>
    </w:p>
    <w:p w14:paraId="74E06404"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وقال السبزواري في الکفاية: «أمّا الوجاء فإن كان من أفراد الخصاء، عمّته الروايات التي هي مستند الحكم، وإلا كان للتأمّل فيه مجال.»</w:t>
      </w:r>
    </w:p>
    <w:p w14:paraId="126B0382" w14:textId="77777777" w:rsidR="00E73797" w:rsidRPr="00E73797" w:rsidRDefault="00E73797" w:rsidP="00E73797">
      <w:pPr>
        <w:bidi/>
        <w:spacing w:line="360" w:lineRule="auto"/>
        <w:rPr>
          <w:rFonts w:cs="B Badr"/>
          <w:sz w:val="32"/>
          <w:szCs w:val="32"/>
          <w:lang w:bidi="fa-IR"/>
        </w:rPr>
      </w:pPr>
      <w:r w:rsidRPr="00E73797">
        <w:rPr>
          <w:rFonts w:cs="B Badr"/>
          <w:sz w:val="32"/>
          <w:szCs w:val="32"/>
          <w:rtl/>
          <w:lang w:bidi="fa-IR"/>
        </w:rPr>
        <w:t>اما بر اساس آنچه که گذشت مبنی بر اين که فسخ نکاح در خصاء مبتنی بر وجود تدليس است، فرقی بين وجاء و خصاء وجود نخواهد داشت و چنانچهوجود وجاء نيز با تدليس همراه باشد، زن دارای حق فسخ خواهد بود، چه وجاء در لغت از افراد خصاء باشد و چه نباشد.</w:t>
      </w:r>
    </w:p>
    <w:p w14:paraId="2E72451B" w14:textId="77777777" w:rsidR="00E73797" w:rsidRPr="00E73797" w:rsidRDefault="00E73797" w:rsidP="00E73797">
      <w:pPr>
        <w:bidi/>
        <w:spacing w:line="360" w:lineRule="auto"/>
        <w:jc w:val="both"/>
        <w:rPr>
          <w:rFonts w:cs="B Badr"/>
          <w:sz w:val="32"/>
          <w:szCs w:val="32"/>
          <w:lang w:bidi="fa-IR"/>
        </w:rPr>
      </w:pPr>
      <w:r w:rsidRPr="00E73797">
        <w:rPr>
          <w:rFonts w:cs="B Badr"/>
          <w:sz w:val="32"/>
          <w:szCs w:val="32"/>
          <w:rtl/>
          <w:lang w:bidi="fa-IR"/>
        </w:rPr>
        <w:t>همچنان که بر اين اساس کسی را که خلقتاً فاقد خصيتيتن باشد نيز شامل خواهد بود.</w:t>
      </w:r>
    </w:p>
    <w:p w14:paraId="57E2665F" w14:textId="77777777" w:rsidR="00E73797" w:rsidRPr="00E73797" w:rsidRDefault="00E73797" w:rsidP="00E73797">
      <w:pPr>
        <w:bidi/>
        <w:spacing w:line="360" w:lineRule="auto"/>
        <w:jc w:val="both"/>
        <w:rPr>
          <w:rFonts w:cs="B Badr"/>
          <w:sz w:val="32"/>
          <w:szCs w:val="32"/>
          <w:highlight w:val="yellow"/>
        </w:rPr>
      </w:pPr>
      <w:r w:rsidRPr="00E73797">
        <w:rPr>
          <w:rFonts w:cs="B Badr"/>
          <w:sz w:val="32"/>
          <w:szCs w:val="32"/>
          <w:highlight w:val="yellow"/>
          <w:rtl/>
          <w:lang w:bidi="fa-IR"/>
        </w:rPr>
        <w:lastRenderedPageBreak/>
        <w:t>قال المحقّق الحلّي</w:t>
      </w:r>
      <w:r w:rsidRPr="00E73797">
        <w:rPr>
          <w:rFonts w:cs="B Badr"/>
          <w:sz w:val="32"/>
          <w:szCs w:val="32"/>
          <w:highlight w:val="yellow"/>
          <w:rtl/>
        </w:rPr>
        <w:t>:</w:t>
      </w:r>
    </w:p>
    <w:p w14:paraId="237E3B95" w14:textId="77777777" w:rsidR="00E73797" w:rsidRPr="00E73797" w:rsidRDefault="00E73797" w:rsidP="00E73797">
      <w:pPr>
        <w:bidi/>
        <w:spacing w:line="360" w:lineRule="auto"/>
        <w:jc w:val="both"/>
        <w:rPr>
          <w:rFonts w:cs="B Badr"/>
          <w:sz w:val="32"/>
          <w:szCs w:val="32"/>
          <w:highlight w:val="yellow"/>
        </w:rPr>
      </w:pPr>
      <w:r w:rsidRPr="00E73797">
        <w:rPr>
          <w:rFonts w:cs="B Badr"/>
          <w:sz w:val="32"/>
          <w:szCs w:val="32"/>
          <w:highlight w:val="yellow"/>
          <w:rtl/>
          <w:lang w:bidi="fa-IR"/>
        </w:rPr>
        <w:t>«والعنن مرض يضعف معه القوّة عن نشر العضو بحيث يعجز</w:t>
      </w:r>
      <w:r w:rsidRPr="00E73797">
        <w:rPr>
          <w:rFonts w:cs="B Badr"/>
          <w:sz w:val="32"/>
          <w:szCs w:val="32"/>
          <w:highlight w:val="yellow"/>
        </w:rPr>
        <w:t>‌</w:t>
      </w:r>
      <w:r w:rsidRPr="00E73797">
        <w:rPr>
          <w:rFonts w:cs="B Badr"/>
          <w:sz w:val="32"/>
          <w:szCs w:val="32"/>
          <w:highlight w:val="yellow"/>
          <w:rtl/>
          <w:lang w:bidi="fa-IR"/>
        </w:rPr>
        <w:t xml:space="preserve"> عن الإيلاج.</w:t>
      </w:r>
    </w:p>
    <w:p w14:paraId="3CC07A47" w14:textId="77777777" w:rsidR="00E73797" w:rsidRPr="00E73797" w:rsidRDefault="00E73797" w:rsidP="00E73797">
      <w:pPr>
        <w:bidi/>
        <w:spacing w:line="360" w:lineRule="auto"/>
        <w:jc w:val="both"/>
        <w:rPr>
          <w:rFonts w:cs="B Badr"/>
          <w:sz w:val="32"/>
          <w:szCs w:val="32"/>
          <w:highlight w:val="yellow"/>
        </w:rPr>
      </w:pPr>
      <w:r w:rsidRPr="00E73797">
        <w:rPr>
          <w:rFonts w:cs="B Badr"/>
          <w:sz w:val="32"/>
          <w:szCs w:val="32"/>
          <w:highlight w:val="yellow"/>
          <w:rtl/>
          <w:lang w:bidi="fa-IR"/>
        </w:rPr>
        <w:t>ويفسخ به وإن تجدّد بعد العقد لكن بشرط أن لا يطأها زوجته ولا غيرها، فلو وطئها ولو مرّة ثمّ عنّ أو أمكنه وطء غيرها مع عننه عنها، لم يثبت لها الخيار على الأظهر.</w:t>
      </w:r>
    </w:p>
    <w:p w14:paraId="3F1FC3A5" w14:textId="77777777" w:rsidR="00E73797" w:rsidRPr="00E73797" w:rsidRDefault="00E73797" w:rsidP="00E73797">
      <w:pPr>
        <w:bidi/>
        <w:spacing w:line="360" w:lineRule="auto"/>
        <w:jc w:val="both"/>
        <w:rPr>
          <w:rFonts w:cs="B Badr"/>
          <w:sz w:val="32"/>
          <w:szCs w:val="32"/>
        </w:rPr>
      </w:pPr>
      <w:r w:rsidRPr="00E73797">
        <w:rPr>
          <w:rFonts w:cs="B Badr"/>
          <w:sz w:val="32"/>
          <w:szCs w:val="32"/>
          <w:highlight w:val="yellow"/>
          <w:rtl/>
          <w:lang w:bidi="fa-IR"/>
        </w:rPr>
        <w:t>وكذا لو وطئها دبراً وعنّ قبلاً.»</w:t>
      </w:r>
    </w:p>
    <w:p w14:paraId="5F69EB08" w14:textId="70D1DD18" w:rsidR="00E73797" w:rsidRPr="00E73797" w:rsidRDefault="00E73797" w:rsidP="00E73797">
      <w:pPr>
        <w:bidi/>
        <w:spacing w:line="360" w:lineRule="auto"/>
        <w:jc w:val="both"/>
        <w:rPr>
          <w:rFonts w:cs="B Badr"/>
          <w:sz w:val="32"/>
          <w:szCs w:val="32"/>
        </w:rPr>
      </w:pPr>
    </w:p>
    <w:p w14:paraId="5EABE900"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3 ـ عنن</w:t>
      </w:r>
    </w:p>
    <w:p w14:paraId="04169087"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قال في لسان العرب: «عَنَّ يَعِنُّ ويَعُنُّ عَنّاً وعُنوناً واعتَنَّ: اعترض وعَرَض... ويقال: عَنَّ الرجل يَعِنُّ عَنّاً وعَنَناً إذا اعترض لك من أحد جانبيك، من عن يمينك أو من عن شمالك بمكروه. والعَنُّ: المصدر، والعَنَنُ: الاسم، وهو الموضع الذي يَعُنُّ فيه العانُّ؛ ومنه سمي العنان من اللجام عناناً، لأنّه يعترضه من ناحيتيه لا يدخل فمه منه شي‌ء... والعِنِّينُ: الذي لا يأتي النساء ولا يريدهنّ، بَيِّنُ العَنَانة والعِنّينة والعِنّينيّة. وعُنِّنَ عن امرأته: إذا حكم القاضي عليه بذلك أو منع عنها بالسحر، والاسم منه العُنّة، وهو ممّا تقدّم، كأنّه اعترضه ما يحبسه عن النساء. وامرأة عِنّينة كذلك، لا تريد الرجال ولا تشتهيهم، وهو فِعّيل بمعنى مفعول، مثل خِرّيج. قال: وسُمّي عنّيناً لأنّه يَعِنُّ ذكرُه لقُبل المرأة من عن يمينه وشماله فلا يقصده. ويقال:</w:t>
      </w:r>
    </w:p>
    <w:p w14:paraId="4842BEE4"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lastRenderedPageBreak/>
        <w:t>تعنّن الرجل إذا ترك النساء من غير أن يكون عنّيناً لثأر يطلبه.»</w:t>
      </w:r>
    </w:p>
    <w:p w14:paraId="43A21A8D"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وقال في المصباح المنير: «رجل عنّين: لا يقدر على إتيان النساء أو لا يشتهي النساء، وامرأة عنّينة: لا تشتهي الرجال.»</w:t>
      </w:r>
    </w:p>
    <w:p w14:paraId="3CE17860"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وقال الطريحي في المجمع: «العنّين: الذي لا يقدر على إتيان النساء ولا يشتهي النساء. وامرأة عنّينة: لا تشتهي الرجال.»</w:t>
      </w:r>
    </w:p>
    <w:p w14:paraId="30D3DCF5"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بنابر اين در بين لغويين اختلاف است که در صدق عنن در مرد، لازم است که علاوه بر عدم قدرت بر جماع شهوت بر زن نيز نداشته باشد، يا اين که مجرد عدم قدرت بر جماع در صدق عنن کفايت می</w:t>
      </w:r>
      <w:r w:rsidRPr="00E73797">
        <w:rPr>
          <w:rFonts w:cs="B Badr"/>
          <w:sz w:val="32"/>
          <w:szCs w:val="32"/>
          <w:cs/>
          <w:lang w:bidi="fa-IR"/>
        </w:rPr>
        <w:t>‎</w:t>
      </w:r>
      <w:r w:rsidRPr="00E73797">
        <w:rPr>
          <w:rFonts w:cs="B Badr"/>
          <w:sz w:val="32"/>
          <w:szCs w:val="32"/>
          <w:rtl/>
          <w:lang w:bidi="fa-IR"/>
        </w:rPr>
        <w:t>کند.</w:t>
      </w:r>
    </w:p>
    <w:p w14:paraId="1483685C" w14:textId="2EAA04B7" w:rsidR="00E73797" w:rsidRPr="00E73797" w:rsidRDefault="00E73797" w:rsidP="00E73797">
      <w:pPr>
        <w:bidi/>
        <w:spacing w:line="360" w:lineRule="auto"/>
        <w:jc w:val="both"/>
        <w:rPr>
          <w:rFonts w:cs="B Badr"/>
          <w:sz w:val="32"/>
          <w:szCs w:val="32"/>
        </w:rPr>
      </w:pPr>
      <w:r w:rsidRPr="00E73797">
        <w:rPr>
          <w:rFonts w:cs="B Badr"/>
          <w:sz w:val="32"/>
          <w:szCs w:val="32"/>
          <w:rtl/>
          <w:lang w:bidi="fa-IR"/>
        </w:rPr>
        <w:t>قال السيّد الطباطبائي في الرياض: «هو على ما عرّفه الأصحاب ـ كما حكي ـ مرض يعجز معه عن الإيلاج لضعف الذكر عن الانتشار من دون تقييد بعدم إرادة</w:t>
      </w:r>
      <w:r>
        <w:rPr>
          <w:rFonts w:cs="B Badr" w:hint="cs"/>
          <w:sz w:val="32"/>
          <w:szCs w:val="32"/>
          <w:rtl/>
          <w:lang w:bidi="fa-IR"/>
        </w:rPr>
        <w:t xml:space="preserve"> </w:t>
      </w:r>
      <w:r w:rsidRPr="00E73797">
        <w:rPr>
          <w:rFonts w:cs="B Badr"/>
          <w:sz w:val="32"/>
          <w:szCs w:val="32"/>
          <w:rtl/>
          <w:lang w:bidi="fa-IR"/>
        </w:rPr>
        <w:t xml:space="preserve">النساء، وربما يوجد في كلام بعض أهل اللغة اعتباره.» </w:t>
      </w:r>
    </w:p>
    <w:p w14:paraId="10473F0E"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قال صاحب الجواهر: «ربما ظهر من بعضهم اعتبار عدم شهوة النساء فيه وفيه منع واضح.»</w:t>
      </w:r>
    </w:p>
    <w:p w14:paraId="184AC751"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اما ظاهر اين است که آنچه که در کلمات برخی از اهل لغت آمده است، اشاره به همان مطلبی است که در اخبار نيز آمده و مورد فتوای اصحاب نيز می</w:t>
      </w:r>
      <w:r w:rsidRPr="00E73797">
        <w:rPr>
          <w:rFonts w:cs="B Badr"/>
          <w:sz w:val="32"/>
          <w:szCs w:val="32"/>
          <w:cs/>
          <w:lang w:bidi="fa-IR"/>
        </w:rPr>
        <w:t>‎</w:t>
      </w:r>
      <w:r w:rsidRPr="00E73797">
        <w:rPr>
          <w:rFonts w:cs="B Badr"/>
          <w:sz w:val="32"/>
          <w:szCs w:val="32"/>
          <w:rtl/>
          <w:lang w:bidi="fa-IR"/>
        </w:rPr>
        <w:t xml:space="preserve">باشد مبنی بر اين شرط تحقق عنن اين است که مرد از جماع در قبل و دبر با هر زنی عاجز باشد که اصحاب لغت اين مطلب را دليل بر عدم شهوت مرد بر </w:t>
      </w:r>
      <w:r w:rsidRPr="00E73797">
        <w:rPr>
          <w:rFonts w:cs="B Badr"/>
          <w:sz w:val="32"/>
          <w:szCs w:val="32"/>
          <w:rtl/>
          <w:lang w:bidi="fa-IR"/>
        </w:rPr>
        <w:lastRenderedPageBreak/>
        <w:t>زن دانسته</w:t>
      </w:r>
      <w:r w:rsidRPr="00E73797">
        <w:rPr>
          <w:rFonts w:cs="B Badr"/>
          <w:sz w:val="32"/>
          <w:szCs w:val="32"/>
          <w:cs/>
          <w:lang w:bidi="fa-IR"/>
        </w:rPr>
        <w:t>‎</w:t>
      </w:r>
      <w:r w:rsidRPr="00E73797">
        <w:rPr>
          <w:rFonts w:cs="B Badr"/>
          <w:sz w:val="32"/>
          <w:szCs w:val="32"/>
          <w:rtl/>
          <w:lang w:bidi="fa-IR"/>
        </w:rPr>
        <w:t>اند، در حالی که ملازمه</w:t>
      </w:r>
      <w:r w:rsidRPr="00E73797">
        <w:rPr>
          <w:rFonts w:cs="B Badr"/>
          <w:sz w:val="32"/>
          <w:szCs w:val="32"/>
          <w:cs/>
          <w:lang w:bidi="fa-IR"/>
        </w:rPr>
        <w:t>‎</w:t>
      </w:r>
      <w:r w:rsidRPr="00E73797">
        <w:rPr>
          <w:rFonts w:cs="B Badr"/>
          <w:sz w:val="32"/>
          <w:szCs w:val="32"/>
          <w:rtl/>
          <w:lang w:bidi="fa-IR"/>
        </w:rPr>
        <w:t>ای بين اين دو مطلب وجود ندارد و چه بسا مرد با وجود ميل و شهوت، به جهت بيماری توان دخول پيدا نکند.</w:t>
      </w:r>
    </w:p>
    <w:p w14:paraId="62E91427" w14:textId="77777777" w:rsidR="00E73797" w:rsidRPr="00E73797" w:rsidRDefault="00E73797" w:rsidP="00E73797">
      <w:pPr>
        <w:bidi/>
        <w:spacing w:line="360" w:lineRule="auto"/>
        <w:jc w:val="both"/>
        <w:rPr>
          <w:rFonts w:cs="B Badr"/>
          <w:sz w:val="32"/>
          <w:szCs w:val="32"/>
          <w:lang w:bidi="fa-IR"/>
        </w:rPr>
      </w:pPr>
      <w:r w:rsidRPr="00E73797">
        <w:rPr>
          <w:rFonts w:cs="B Badr"/>
          <w:sz w:val="32"/>
          <w:szCs w:val="32"/>
          <w:rtl/>
          <w:lang w:bidi="fa-IR"/>
        </w:rPr>
        <w:t>اما در مورد اين که عنن زوج موجب حق فسخ برای زن است، اشکالی در بيناصحاب نبوده و بلکه ادعای اجماع در اين خصوص وجود دارد.</w:t>
      </w:r>
    </w:p>
    <w:p w14:paraId="22B7194D" w14:textId="77777777" w:rsidR="00E73797" w:rsidRPr="00E73797" w:rsidRDefault="00E73797" w:rsidP="00E73797">
      <w:pPr>
        <w:bidi/>
        <w:spacing w:line="360" w:lineRule="auto"/>
        <w:jc w:val="both"/>
        <w:rPr>
          <w:rFonts w:cs="B Badr"/>
          <w:sz w:val="32"/>
          <w:szCs w:val="32"/>
          <w:lang w:bidi="fa-IR"/>
        </w:rPr>
      </w:pPr>
      <w:r w:rsidRPr="00E73797">
        <w:rPr>
          <w:rFonts w:cs="B Badr"/>
          <w:sz w:val="32"/>
          <w:szCs w:val="32"/>
          <w:rtl/>
          <w:lang w:bidi="fa-IR"/>
        </w:rPr>
        <w:t>قال الشيخ في الخلاف: «العنّة عيب يثبت للمرأة به الخيار، ويضرب له مدّة سنة، فإن جامع فيها وإلا فرّق بينهما؛ وبه قال جميع الفقهاء. وقال الشافعي: لا أعلم خلافاً فيه عن مفت لقيته في أنّه إن جامع وإلا فرّق بينهما. وقال الحكم: لا يضرب له مدّة ولا يفسخ به النكاح؛ وبه قال أهل</w:t>
      </w:r>
      <w:r w:rsidRPr="00E73797">
        <w:rPr>
          <w:rFonts w:cs="B Badr"/>
          <w:sz w:val="32"/>
          <w:szCs w:val="32"/>
          <w:lang w:bidi="fa-IR"/>
        </w:rPr>
        <w:t>‌</w:t>
      </w:r>
      <w:r w:rsidRPr="00E73797">
        <w:rPr>
          <w:rFonts w:cs="B Badr"/>
          <w:sz w:val="32"/>
          <w:szCs w:val="32"/>
          <w:rtl/>
          <w:lang w:bidi="fa-IR"/>
        </w:rPr>
        <w:t xml:space="preserve"> الظاهر.</w:t>
      </w:r>
    </w:p>
    <w:p w14:paraId="65525F7C" w14:textId="77777777" w:rsidR="00E73797" w:rsidRPr="00E73797" w:rsidRDefault="00E73797" w:rsidP="00E73797">
      <w:pPr>
        <w:bidi/>
        <w:spacing w:line="360" w:lineRule="auto"/>
        <w:jc w:val="both"/>
        <w:rPr>
          <w:rFonts w:cs="B Badr"/>
          <w:sz w:val="32"/>
          <w:szCs w:val="32"/>
          <w:lang w:bidi="fa-IR"/>
        </w:rPr>
      </w:pPr>
      <w:r w:rsidRPr="00E73797">
        <w:rPr>
          <w:rFonts w:cs="B Badr"/>
          <w:sz w:val="32"/>
          <w:szCs w:val="32"/>
          <w:rtl/>
          <w:lang w:bidi="fa-IR"/>
        </w:rPr>
        <w:t>دليلنا: إجماع الفرقة وأخبارهم.»</w:t>
      </w:r>
    </w:p>
    <w:p w14:paraId="242600F3" w14:textId="77777777" w:rsidR="00E73797" w:rsidRPr="00E73797" w:rsidRDefault="00E73797" w:rsidP="00E73797">
      <w:pPr>
        <w:bidi/>
        <w:spacing w:line="360" w:lineRule="auto"/>
        <w:jc w:val="both"/>
        <w:rPr>
          <w:rFonts w:cs="B Badr"/>
          <w:sz w:val="32"/>
          <w:szCs w:val="32"/>
          <w:lang w:bidi="fa-IR"/>
        </w:rPr>
      </w:pPr>
      <w:r w:rsidRPr="00E73797">
        <w:rPr>
          <w:rFonts w:cs="B Badr"/>
          <w:sz w:val="32"/>
          <w:szCs w:val="32"/>
          <w:rtl/>
          <w:lang w:bidi="fa-IR"/>
        </w:rPr>
        <w:t>وادّعی الإجماع عليه أيضاً ابن زهرة في الغنية و الشهيد الثاني في المسال</w:t>
      </w:r>
      <w:r w:rsidRPr="00E73797">
        <w:rPr>
          <w:rFonts w:cs="B Badr"/>
          <w:sz w:val="32"/>
          <w:szCs w:val="32"/>
          <w:rtl/>
        </w:rPr>
        <w:t>ك والس</w:t>
      </w:r>
      <w:r w:rsidRPr="00E73797">
        <w:rPr>
          <w:rFonts w:cs="B Badr"/>
          <w:sz w:val="32"/>
          <w:szCs w:val="32"/>
          <w:rtl/>
          <w:lang w:bidi="fa-IR"/>
        </w:rPr>
        <w:t>يّد العاملي في نهاية المرام والفاضل الإصفهاني في کشف اللثام وصاحب الجواهر.</w:t>
      </w:r>
    </w:p>
    <w:p w14:paraId="60FF2924" w14:textId="77777777" w:rsidR="00E73797" w:rsidRPr="00E73797" w:rsidRDefault="00E73797" w:rsidP="00E73797">
      <w:pPr>
        <w:bidi/>
        <w:spacing w:line="360" w:lineRule="auto"/>
        <w:jc w:val="both"/>
        <w:rPr>
          <w:rFonts w:cs="B Badr"/>
          <w:sz w:val="32"/>
          <w:szCs w:val="32"/>
          <w:lang w:bidi="fa-IR"/>
        </w:rPr>
      </w:pPr>
      <w:r w:rsidRPr="00E73797">
        <w:rPr>
          <w:rFonts w:cs="B Badr"/>
          <w:sz w:val="32"/>
          <w:szCs w:val="32"/>
          <w:rtl/>
          <w:lang w:bidi="fa-IR"/>
        </w:rPr>
        <w:t>کما ادّعی الفاضل المقداد في التنقيح الرائع والمحقّق السبزواري في الکفاية عدم الخلاف فيه بين الأصحاب.</w:t>
      </w:r>
    </w:p>
    <w:p w14:paraId="6E737ED5"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اما مستند اين حکم روايات زيادی است که در مجامع روايی نقل شده است:</w:t>
      </w:r>
    </w:p>
    <w:p w14:paraId="5FD5A06C"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lastRenderedPageBreak/>
        <w:t>1 ـ صحيحة عبّاد الضبّيّ عن أبي عبدالله(ع)، قال: «في العنّين إذا علم أنّه عنّين</w:t>
      </w:r>
      <w:r w:rsidRPr="00E73797">
        <w:rPr>
          <w:rFonts w:cs="B Badr"/>
          <w:sz w:val="32"/>
          <w:szCs w:val="32"/>
          <w:rtl/>
          <w:lang w:bidi="fa-IR"/>
        </w:rPr>
        <w:br/>
        <w:t>لا يأتي النساء</w:t>
      </w:r>
      <w:r w:rsidRPr="00E73797">
        <w:rPr>
          <w:rFonts w:cs="B Badr"/>
          <w:sz w:val="32"/>
          <w:szCs w:val="32"/>
        </w:rPr>
        <w:t>‌</w:t>
      </w:r>
      <w:r w:rsidRPr="00E73797">
        <w:rPr>
          <w:rFonts w:cs="B Badr"/>
          <w:sz w:val="32"/>
          <w:szCs w:val="32"/>
          <w:rtl/>
          <w:lang w:bidi="fa-IR"/>
        </w:rPr>
        <w:t xml:space="preserve"> فرّق بينهما وإذا وقع عليها وقعة واحدة لم يفرّق بينهما، والرجل</w:t>
      </w:r>
      <w:r w:rsidRPr="00E73797">
        <w:rPr>
          <w:rFonts w:cs="B Badr"/>
          <w:sz w:val="32"/>
          <w:szCs w:val="32"/>
          <w:rtl/>
          <w:lang w:bidi="fa-IR"/>
        </w:rPr>
        <w:br/>
        <w:t>لا يردّ من عيب.»</w:t>
      </w:r>
    </w:p>
    <w:p w14:paraId="21783092"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2 ـ صحيحة أبي بصير، قال: «سألت أبا عبدالله(ع) عن امرأة ابتلي زوجها فلا يقدر على الجماع، أتفارقه؟ قال: نعم، إن شاءت.</w:t>
      </w:r>
    </w:p>
    <w:p w14:paraId="1AEC02A5"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قال ابن مسكان: وفي حديث آخر: تنتظر سنة، فإن أتاها وإلا فارقته، فإن أحبّت أن تقيم معه فلتقم.»</w:t>
      </w:r>
    </w:p>
    <w:p w14:paraId="6B2E30DB"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3 ـ موثّقة عمّار بن موسى عن أبي عبدالله(ع): «أنّه سئل عن رجل أُخّذ عن امرأته فلا يقدر على إتيانها، فقال: إن كان لا يقدر على إتيان غيرها من النساء</w:t>
      </w:r>
    </w:p>
    <w:p w14:paraId="4BBD2E1A"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فلا يمسكها إلا برضاها بذلك، وإن كان يقدر على غيرها فلا بأس بإمساكها.»</w:t>
      </w:r>
    </w:p>
    <w:p w14:paraId="339E71FD"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قال في لسان العرب: «التأخيذ: حبس السواحر أزواجهنّ عن غيرهنّ من النساء.»</w:t>
      </w:r>
    </w:p>
    <w:p w14:paraId="6087C8E1"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4 ـ معتبرة السكونيّ عن أبي عبدالله(ع)، قال: «قال أمير المؤمنين(ع): من أتى امرأته مرّة واحدة ثمّ أُخّذ عنها فلا خيار لها.»</w:t>
      </w:r>
    </w:p>
    <w:p w14:paraId="54325500"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lastRenderedPageBreak/>
        <w:t>5 ـ صحيحة محمّد بن مسلم عن أبي جعفر(ع)، قال: «العنّين يُتربّص به سنة ثمّ إن شاءت امرأته تزوّجت وإن شاءت أقامت.»</w:t>
      </w:r>
    </w:p>
    <w:p w14:paraId="29F3C51B"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6 ـ رواية أبي الصبّاح الكنانيّ، قال: «سألت أبا عبدالله(ع) عن امرأة ابتلي زوجها فلا يقدر على الجماع أبداً، أتفارقه؟ قال: نعم إن شاءت.»</w:t>
      </w:r>
    </w:p>
    <w:p w14:paraId="07DD6A10"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7 ـ رواية أُخری لأبي الصبّاح، قال: «إذا تزوّج الرجل المرأة وهو لا يقدر على</w:t>
      </w:r>
    </w:p>
    <w:p w14:paraId="0896B726" w14:textId="77777777" w:rsidR="00E73797" w:rsidRPr="00E73797" w:rsidRDefault="00E73797" w:rsidP="00E73797">
      <w:pPr>
        <w:bidi/>
        <w:spacing w:line="360" w:lineRule="auto"/>
        <w:jc w:val="both"/>
        <w:rPr>
          <w:rFonts w:cs="B Badr"/>
          <w:sz w:val="32"/>
          <w:szCs w:val="32"/>
        </w:rPr>
      </w:pPr>
      <w:r w:rsidRPr="00E73797">
        <w:rPr>
          <w:rFonts w:cs="B Badr"/>
          <w:sz w:val="32"/>
          <w:szCs w:val="32"/>
          <w:rtl/>
          <w:lang w:bidi="fa-IR"/>
        </w:rPr>
        <w:t>النساء، أُجّل سنة حتّى يعالج نفسه.»</w:t>
      </w:r>
    </w:p>
    <w:p w14:paraId="07CD2FFE" w14:textId="37DA3321" w:rsidR="00E73797" w:rsidRPr="00E73797" w:rsidRDefault="00E73797" w:rsidP="00E73797">
      <w:pPr>
        <w:bidi/>
        <w:spacing w:line="360" w:lineRule="auto"/>
        <w:jc w:val="both"/>
        <w:rPr>
          <w:rFonts w:cs="B Badr"/>
          <w:sz w:val="32"/>
          <w:szCs w:val="32"/>
        </w:rPr>
      </w:pPr>
    </w:p>
    <w:p w14:paraId="7FEA1907" w14:textId="171DCA04" w:rsidR="00AC70A6" w:rsidRPr="00E73797" w:rsidRDefault="00AC70A6" w:rsidP="00E73797">
      <w:pPr>
        <w:bidi/>
        <w:spacing w:line="360" w:lineRule="auto"/>
        <w:jc w:val="both"/>
        <w:rPr>
          <w:rFonts w:cs="B Badr"/>
          <w:sz w:val="32"/>
          <w:szCs w:val="32"/>
        </w:rPr>
      </w:pPr>
    </w:p>
    <w:sectPr w:rsidR="00AC70A6" w:rsidRPr="00E737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13864"/>
    <w:rsid w:val="00477251"/>
    <w:rsid w:val="00484404"/>
    <w:rsid w:val="00490895"/>
    <w:rsid w:val="004B6D1E"/>
    <w:rsid w:val="004C34FF"/>
    <w:rsid w:val="005327EB"/>
    <w:rsid w:val="00562743"/>
    <w:rsid w:val="005658AE"/>
    <w:rsid w:val="005C40B3"/>
    <w:rsid w:val="005E7D5D"/>
    <w:rsid w:val="0063539D"/>
    <w:rsid w:val="0064785D"/>
    <w:rsid w:val="00670F79"/>
    <w:rsid w:val="006D263F"/>
    <w:rsid w:val="006D6933"/>
    <w:rsid w:val="006F3D95"/>
    <w:rsid w:val="007222E9"/>
    <w:rsid w:val="00767CEC"/>
    <w:rsid w:val="00780CBE"/>
    <w:rsid w:val="007B782F"/>
    <w:rsid w:val="007E26B8"/>
    <w:rsid w:val="008706B3"/>
    <w:rsid w:val="008710D1"/>
    <w:rsid w:val="009308EB"/>
    <w:rsid w:val="00996B36"/>
    <w:rsid w:val="009A4AA1"/>
    <w:rsid w:val="009A7ED2"/>
    <w:rsid w:val="009D664E"/>
    <w:rsid w:val="00A0047F"/>
    <w:rsid w:val="00A06F9B"/>
    <w:rsid w:val="00A46CE0"/>
    <w:rsid w:val="00A53FAD"/>
    <w:rsid w:val="00A56C6A"/>
    <w:rsid w:val="00A7012C"/>
    <w:rsid w:val="00A74A3A"/>
    <w:rsid w:val="00AC70A6"/>
    <w:rsid w:val="00AD14AC"/>
    <w:rsid w:val="00B00517"/>
    <w:rsid w:val="00B35D26"/>
    <w:rsid w:val="00B4149D"/>
    <w:rsid w:val="00BC3B06"/>
    <w:rsid w:val="00BF7D51"/>
    <w:rsid w:val="00C33EAF"/>
    <w:rsid w:val="00C45D16"/>
    <w:rsid w:val="00C61C52"/>
    <w:rsid w:val="00C67F54"/>
    <w:rsid w:val="00CA0BEA"/>
    <w:rsid w:val="00CF163D"/>
    <w:rsid w:val="00CF4173"/>
    <w:rsid w:val="00D00AB0"/>
    <w:rsid w:val="00D072D0"/>
    <w:rsid w:val="00DF1F84"/>
    <w:rsid w:val="00E52172"/>
    <w:rsid w:val="00E64D2F"/>
    <w:rsid w:val="00E73797"/>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18956877">
      <w:bodyDiv w:val="1"/>
      <w:marLeft w:val="0"/>
      <w:marRight w:val="0"/>
      <w:marTop w:val="0"/>
      <w:marBottom w:val="0"/>
      <w:divBdr>
        <w:top w:val="none" w:sz="0" w:space="0" w:color="auto"/>
        <w:left w:val="none" w:sz="0" w:space="0" w:color="auto"/>
        <w:bottom w:val="none" w:sz="0" w:space="0" w:color="auto"/>
        <w:right w:val="none" w:sz="0" w:space="0" w:color="auto"/>
      </w:divBdr>
    </w:div>
    <w:div w:id="132404392">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6919676">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73039022">
      <w:bodyDiv w:val="1"/>
      <w:marLeft w:val="0"/>
      <w:marRight w:val="0"/>
      <w:marTop w:val="0"/>
      <w:marBottom w:val="0"/>
      <w:divBdr>
        <w:top w:val="none" w:sz="0" w:space="0" w:color="auto"/>
        <w:left w:val="none" w:sz="0" w:space="0" w:color="auto"/>
        <w:bottom w:val="none" w:sz="0" w:space="0" w:color="auto"/>
        <w:right w:val="none" w:sz="0" w:space="0" w:color="auto"/>
      </w:divBdr>
    </w:div>
    <w:div w:id="18648138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26575469">
      <w:bodyDiv w:val="1"/>
      <w:marLeft w:val="0"/>
      <w:marRight w:val="0"/>
      <w:marTop w:val="0"/>
      <w:marBottom w:val="0"/>
      <w:divBdr>
        <w:top w:val="none" w:sz="0" w:space="0" w:color="auto"/>
        <w:left w:val="none" w:sz="0" w:space="0" w:color="auto"/>
        <w:bottom w:val="none" w:sz="0" w:space="0" w:color="auto"/>
        <w:right w:val="none" w:sz="0" w:space="0" w:color="auto"/>
      </w:divBdr>
    </w:div>
    <w:div w:id="230163555">
      <w:bodyDiv w:val="1"/>
      <w:marLeft w:val="0"/>
      <w:marRight w:val="0"/>
      <w:marTop w:val="0"/>
      <w:marBottom w:val="0"/>
      <w:divBdr>
        <w:top w:val="none" w:sz="0" w:space="0" w:color="auto"/>
        <w:left w:val="none" w:sz="0" w:space="0" w:color="auto"/>
        <w:bottom w:val="none" w:sz="0" w:space="0" w:color="auto"/>
        <w:right w:val="none" w:sz="0" w:space="0" w:color="auto"/>
      </w:divBdr>
    </w:div>
    <w:div w:id="230193500">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67156684">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01623094">
      <w:bodyDiv w:val="1"/>
      <w:marLeft w:val="0"/>
      <w:marRight w:val="0"/>
      <w:marTop w:val="0"/>
      <w:marBottom w:val="0"/>
      <w:divBdr>
        <w:top w:val="none" w:sz="0" w:space="0" w:color="auto"/>
        <w:left w:val="none" w:sz="0" w:space="0" w:color="auto"/>
        <w:bottom w:val="none" w:sz="0" w:space="0" w:color="auto"/>
        <w:right w:val="none" w:sz="0" w:space="0" w:color="auto"/>
      </w:divBdr>
    </w:div>
    <w:div w:id="303318773">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4683594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5758888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66873781">
      <w:bodyDiv w:val="1"/>
      <w:marLeft w:val="0"/>
      <w:marRight w:val="0"/>
      <w:marTop w:val="0"/>
      <w:marBottom w:val="0"/>
      <w:divBdr>
        <w:top w:val="none" w:sz="0" w:space="0" w:color="auto"/>
        <w:left w:val="none" w:sz="0" w:space="0" w:color="auto"/>
        <w:bottom w:val="none" w:sz="0" w:space="0" w:color="auto"/>
        <w:right w:val="none" w:sz="0" w:space="0" w:color="auto"/>
      </w:divBdr>
    </w:div>
    <w:div w:id="387455877">
      <w:bodyDiv w:val="1"/>
      <w:marLeft w:val="0"/>
      <w:marRight w:val="0"/>
      <w:marTop w:val="0"/>
      <w:marBottom w:val="0"/>
      <w:divBdr>
        <w:top w:val="none" w:sz="0" w:space="0" w:color="auto"/>
        <w:left w:val="none" w:sz="0" w:space="0" w:color="auto"/>
        <w:bottom w:val="none" w:sz="0" w:space="0" w:color="auto"/>
        <w:right w:val="none" w:sz="0" w:space="0" w:color="auto"/>
      </w:divBdr>
    </w:div>
    <w:div w:id="393743379">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25543484">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46965926">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1238861">
      <w:bodyDiv w:val="1"/>
      <w:marLeft w:val="0"/>
      <w:marRight w:val="0"/>
      <w:marTop w:val="0"/>
      <w:marBottom w:val="0"/>
      <w:divBdr>
        <w:top w:val="none" w:sz="0" w:space="0" w:color="auto"/>
        <w:left w:val="none" w:sz="0" w:space="0" w:color="auto"/>
        <w:bottom w:val="none" w:sz="0" w:space="0" w:color="auto"/>
        <w:right w:val="none" w:sz="0" w:space="0" w:color="auto"/>
      </w:divBdr>
    </w:div>
    <w:div w:id="503712349">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10490102">
      <w:bodyDiv w:val="1"/>
      <w:marLeft w:val="0"/>
      <w:marRight w:val="0"/>
      <w:marTop w:val="0"/>
      <w:marBottom w:val="0"/>
      <w:divBdr>
        <w:top w:val="none" w:sz="0" w:space="0" w:color="auto"/>
        <w:left w:val="none" w:sz="0" w:space="0" w:color="auto"/>
        <w:bottom w:val="none" w:sz="0" w:space="0" w:color="auto"/>
        <w:right w:val="none" w:sz="0" w:space="0" w:color="auto"/>
      </w:divBdr>
    </w:div>
    <w:div w:id="512841481">
      <w:bodyDiv w:val="1"/>
      <w:marLeft w:val="0"/>
      <w:marRight w:val="0"/>
      <w:marTop w:val="0"/>
      <w:marBottom w:val="0"/>
      <w:divBdr>
        <w:top w:val="none" w:sz="0" w:space="0" w:color="auto"/>
        <w:left w:val="none" w:sz="0" w:space="0" w:color="auto"/>
        <w:bottom w:val="none" w:sz="0" w:space="0" w:color="auto"/>
        <w:right w:val="none" w:sz="0" w:space="0" w:color="auto"/>
      </w:divBdr>
    </w:div>
    <w:div w:id="528565556">
      <w:bodyDiv w:val="1"/>
      <w:marLeft w:val="0"/>
      <w:marRight w:val="0"/>
      <w:marTop w:val="0"/>
      <w:marBottom w:val="0"/>
      <w:divBdr>
        <w:top w:val="none" w:sz="0" w:space="0" w:color="auto"/>
        <w:left w:val="none" w:sz="0" w:space="0" w:color="auto"/>
        <w:bottom w:val="none" w:sz="0" w:space="0" w:color="auto"/>
        <w:right w:val="none" w:sz="0" w:space="0" w:color="auto"/>
      </w:divBdr>
    </w:div>
    <w:div w:id="53373180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39905144">
      <w:bodyDiv w:val="1"/>
      <w:marLeft w:val="0"/>
      <w:marRight w:val="0"/>
      <w:marTop w:val="0"/>
      <w:marBottom w:val="0"/>
      <w:divBdr>
        <w:top w:val="none" w:sz="0" w:space="0" w:color="auto"/>
        <w:left w:val="none" w:sz="0" w:space="0" w:color="auto"/>
        <w:bottom w:val="none" w:sz="0" w:space="0" w:color="auto"/>
        <w:right w:val="none" w:sz="0" w:space="0" w:color="auto"/>
      </w:divBdr>
    </w:div>
    <w:div w:id="543714343">
      <w:bodyDiv w:val="1"/>
      <w:marLeft w:val="0"/>
      <w:marRight w:val="0"/>
      <w:marTop w:val="0"/>
      <w:marBottom w:val="0"/>
      <w:divBdr>
        <w:top w:val="none" w:sz="0" w:space="0" w:color="auto"/>
        <w:left w:val="none" w:sz="0" w:space="0" w:color="auto"/>
        <w:bottom w:val="none" w:sz="0" w:space="0" w:color="auto"/>
        <w:right w:val="none" w:sz="0" w:space="0" w:color="auto"/>
      </w:divBdr>
    </w:div>
    <w:div w:id="561330303">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16329560">
      <w:bodyDiv w:val="1"/>
      <w:marLeft w:val="0"/>
      <w:marRight w:val="0"/>
      <w:marTop w:val="0"/>
      <w:marBottom w:val="0"/>
      <w:divBdr>
        <w:top w:val="none" w:sz="0" w:space="0" w:color="auto"/>
        <w:left w:val="none" w:sz="0" w:space="0" w:color="auto"/>
        <w:bottom w:val="none" w:sz="0" w:space="0" w:color="auto"/>
        <w:right w:val="none" w:sz="0" w:space="0" w:color="auto"/>
      </w:divBdr>
    </w:div>
    <w:div w:id="620956981">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44509638">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70376524">
      <w:bodyDiv w:val="1"/>
      <w:marLeft w:val="0"/>
      <w:marRight w:val="0"/>
      <w:marTop w:val="0"/>
      <w:marBottom w:val="0"/>
      <w:divBdr>
        <w:top w:val="none" w:sz="0" w:space="0" w:color="auto"/>
        <w:left w:val="none" w:sz="0" w:space="0" w:color="auto"/>
        <w:bottom w:val="none" w:sz="0" w:space="0" w:color="auto"/>
        <w:right w:val="none" w:sz="0" w:space="0" w:color="auto"/>
      </w:divBdr>
    </w:div>
    <w:div w:id="680207816">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1436199">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78796133">
      <w:bodyDiv w:val="1"/>
      <w:marLeft w:val="0"/>
      <w:marRight w:val="0"/>
      <w:marTop w:val="0"/>
      <w:marBottom w:val="0"/>
      <w:divBdr>
        <w:top w:val="none" w:sz="0" w:space="0" w:color="auto"/>
        <w:left w:val="none" w:sz="0" w:space="0" w:color="auto"/>
        <w:bottom w:val="none" w:sz="0" w:space="0" w:color="auto"/>
        <w:right w:val="none" w:sz="0" w:space="0" w:color="auto"/>
      </w:divBdr>
    </w:div>
    <w:div w:id="780536515">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1848229">
      <w:bodyDiv w:val="1"/>
      <w:marLeft w:val="0"/>
      <w:marRight w:val="0"/>
      <w:marTop w:val="0"/>
      <w:marBottom w:val="0"/>
      <w:divBdr>
        <w:top w:val="none" w:sz="0" w:space="0" w:color="auto"/>
        <w:left w:val="none" w:sz="0" w:space="0" w:color="auto"/>
        <w:bottom w:val="none" w:sz="0" w:space="0" w:color="auto"/>
        <w:right w:val="none" w:sz="0" w:space="0" w:color="auto"/>
      </w:divBdr>
    </w:div>
    <w:div w:id="823811444">
      <w:bodyDiv w:val="1"/>
      <w:marLeft w:val="0"/>
      <w:marRight w:val="0"/>
      <w:marTop w:val="0"/>
      <w:marBottom w:val="0"/>
      <w:divBdr>
        <w:top w:val="none" w:sz="0" w:space="0" w:color="auto"/>
        <w:left w:val="none" w:sz="0" w:space="0" w:color="auto"/>
        <w:bottom w:val="none" w:sz="0" w:space="0" w:color="auto"/>
        <w:right w:val="none" w:sz="0" w:space="0" w:color="auto"/>
      </w:divBdr>
    </w:div>
    <w:div w:id="827945685">
      <w:bodyDiv w:val="1"/>
      <w:marLeft w:val="0"/>
      <w:marRight w:val="0"/>
      <w:marTop w:val="0"/>
      <w:marBottom w:val="0"/>
      <w:divBdr>
        <w:top w:val="none" w:sz="0" w:space="0" w:color="auto"/>
        <w:left w:val="none" w:sz="0" w:space="0" w:color="auto"/>
        <w:bottom w:val="none" w:sz="0" w:space="0" w:color="auto"/>
        <w:right w:val="none" w:sz="0" w:space="0" w:color="auto"/>
      </w:divBdr>
    </w:div>
    <w:div w:id="829374029">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35849088">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48839055">
      <w:bodyDiv w:val="1"/>
      <w:marLeft w:val="0"/>
      <w:marRight w:val="0"/>
      <w:marTop w:val="0"/>
      <w:marBottom w:val="0"/>
      <w:divBdr>
        <w:top w:val="none" w:sz="0" w:space="0" w:color="auto"/>
        <w:left w:val="none" w:sz="0" w:space="0" w:color="auto"/>
        <w:bottom w:val="none" w:sz="0" w:space="0" w:color="auto"/>
        <w:right w:val="none" w:sz="0" w:space="0" w:color="auto"/>
      </w:divBdr>
    </w:div>
    <w:div w:id="863591626">
      <w:bodyDiv w:val="1"/>
      <w:marLeft w:val="0"/>
      <w:marRight w:val="0"/>
      <w:marTop w:val="0"/>
      <w:marBottom w:val="0"/>
      <w:divBdr>
        <w:top w:val="none" w:sz="0" w:space="0" w:color="auto"/>
        <w:left w:val="none" w:sz="0" w:space="0" w:color="auto"/>
        <w:bottom w:val="none" w:sz="0" w:space="0" w:color="auto"/>
        <w:right w:val="none" w:sz="0" w:space="0" w:color="auto"/>
      </w:divBdr>
    </w:div>
    <w:div w:id="870607234">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1346512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48896238">
      <w:bodyDiv w:val="1"/>
      <w:marLeft w:val="0"/>
      <w:marRight w:val="0"/>
      <w:marTop w:val="0"/>
      <w:marBottom w:val="0"/>
      <w:divBdr>
        <w:top w:val="none" w:sz="0" w:space="0" w:color="auto"/>
        <w:left w:val="none" w:sz="0" w:space="0" w:color="auto"/>
        <w:bottom w:val="none" w:sz="0" w:space="0" w:color="auto"/>
        <w:right w:val="none" w:sz="0" w:space="0" w:color="auto"/>
      </w:divBdr>
    </w:div>
    <w:div w:id="95232261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997197593">
      <w:bodyDiv w:val="1"/>
      <w:marLeft w:val="0"/>
      <w:marRight w:val="0"/>
      <w:marTop w:val="0"/>
      <w:marBottom w:val="0"/>
      <w:divBdr>
        <w:top w:val="none" w:sz="0" w:space="0" w:color="auto"/>
        <w:left w:val="none" w:sz="0" w:space="0" w:color="auto"/>
        <w:bottom w:val="none" w:sz="0" w:space="0" w:color="auto"/>
        <w:right w:val="none" w:sz="0" w:space="0" w:color="auto"/>
      </w:divBdr>
    </w:div>
    <w:div w:id="1010642521">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24327989">
      <w:bodyDiv w:val="1"/>
      <w:marLeft w:val="0"/>
      <w:marRight w:val="0"/>
      <w:marTop w:val="0"/>
      <w:marBottom w:val="0"/>
      <w:divBdr>
        <w:top w:val="none" w:sz="0" w:space="0" w:color="auto"/>
        <w:left w:val="none" w:sz="0" w:space="0" w:color="auto"/>
        <w:bottom w:val="none" w:sz="0" w:space="0" w:color="auto"/>
        <w:right w:val="none" w:sz="0" w:space="0" w:color="auto"/>
      </w:divBdr>
    </w:div>
    <w:div w:id="1024359988">
      <w:bodyDiv w:val="1"/>
      <w:marLeft w:val="0"/>
      <w:marRight w:val="0"/>
      <w:marTop w:val="0"/>
      <w:marBottom w:val="0"/>
      <w:divBdr>
        <w:top w:val="none" w:sz="0" w:space="0" w:color="auto"/>
        <w:left w:val="none" w:sz="0" w:space="0" w:color="auto"/>
        <w:bottom w:val="none" w:sz="0" w:space="0" w:color="auto"/>
        <w:right w:val="none" w:sz="0" w:space="0" w:color="auto"/>
      </w:divBdr>
    </w:div>
    <w:div w:id="102728877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55130764">
      <w:bodyDiv w:val="1"/>
      <w:marLeft w:val="0"/>
      <w:marRight w:val="0"/>
      <w:marTop w:val="0"/>
      <w:marBottom w:val="0"/>
      <w:divBdr>
        <w:top w:val="none" w:sz="0" w:space="0" w:color="auto"/>
        <w:left w:val="none" w:sz="0" w:space="0" w:color="auto"/>
        <w:bottom w:val="none" w:sz="0" w:space="0" w:color="auto"/>
        <w:right w:val="none" w:sz="0" w:space="0" w:color="auto"/>
      </w:divBdr>
    </w:div>
    <w:div w:id="1057706842">
      <w:bodyDiv w:val="1"/>
      <w:marLeft w:val="0"/>
      <w:marRight w:val="0"/>
      <w:marTop w:val="0"/>
      <w:marBottom w:val="0"/>
      <w:divBdr>
        <w:top w:val="none" w:sz="0" w:space="0" w:color="auto"/>
        <w:left w:val="none" w:sz="0" w:space="0" w:color="auto"/>
        <w:bottom w:val="none" w:sz="0" w:space="0" w:color="auto"/>
        <w:right w:val="none" w:sz="0" w:space="0" w:color="auto"/>
      </w:divBdr>
    </w:div>
    <w:div w:id="1059286081">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5906247">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7775722">
      <w:bodyDiv w:val="1"/>
      <w:marLeft w:val="0"/>
      <w:marRight w:val="0"/>
      <w:marTop w:val="0"/>
      <w:marBottom w:val="0"/>
      <w:divBdr>
        <w:top w:val="none" w:sz="0" w:space="0" w:color="auto"/>
        <w:left w:val="none" w:sz="0" w:space="0" w:color="auto"/>
        <w:bottom w:val="none" w:sz="0" w:space="0" w:color="auto"/>
        <w:right w:val="none" w:sz="0" w:space="0" w:color="auto"/>
      </w:divBdr>
    </w:div>
    <w:div w:id="112913049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56991867">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2761423">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1324143">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02928024">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56465704">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376963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2289065">
      <w:bodyDiv w:val="1"/>
      <w:marLeft w:val="0"/>
      <w:marRight w:val="0"/>
      <w:marTop w:val="0"/>
      <w:marBottom w:val="0"/>
      <w:divBdr>
        <w:top w:val="none" w:sz="0" w:space="0" w:color="auto"/>
        <w:left w:val="none" w:sz="0" w:space="0" w:color="auto"/>
        <w:bottom w:val="none" w:sz="0" w:space="0" w:color="auto"/>
        <w:right w:val="none" w:sz="0" w:space="0" w:color="auto"/>
      </w:divBdr>
    </w:div>
    <w:div w:id="1393121880">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767704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55172130">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0616816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38591407">
      <w:bodyDiv w:val="1"/>
      <w:marLeft w:val="0"/>
      <w:marRight w:val="0"/>
      <w:marTop w:val="0"/>
      <w:marBottom w:val="0"/>
      <w:divBdr>
        <w:top w:val="none" w:sz="0" w:space="0" w:color="auto"/>
        <w:left w:val="none" w:sz="0" w:space="0" w:color="auto"/>
        <w:bottom w:val="none" w:sz="0" w:space="0" w:color="auto"/>
        <w:right w:val="none" w:sz="0" w:space="0" w:color="auto"/>
      </w:divBdr>
    </w:div>
    <w:div w:id="1543789146">
      <w:bodyDiv w:val="1"/>
      <w:marLeft w:val="0"/>
      <w:marRight w:val="0"/>
      <w:marTop w:val="0"/>
      <w:marBottom w:val="0"/>
      <w:divBdr>
        <w:top w:val="none" w:sz="0" w:space="0" w:color="auto"/>
        <w:left w:val="none" w:sz="0" w:space="0" w:color="auto"/>
        <w:bottom w:val="none" w:sz="0" w:space="0" w:color="auto"/>
        <w:right w:val="none" w:sz="0" w:space="0" w:color="auto"/>
      </w:divBdr>
    </w:div>
    <w:div w:id="1561210354">
      <w:bodyDiv w:val="1"/>
      <w:marLeft w:val="0"/>
      <w:marRight w:val="0"/>
      <w:marTop w:val="0"/>
      <w:marBottom w:val="0"/>
      <w:divBdr>
        <w:top w:val="none" w:sz="0" w:space="0" w:color="auto"/>
        <w:left w:val="none" w:sz="0" w:space="0" w:color="auto"/>
        <w:bottom w:val="none" w:sz="0" w:space="0" w:color="auto"/>
        <w:right w:val="none" w:sz="0" w:space="0" w:color="auto"/>
      </w:divBdr>
    </w:div>
    <w:div w:id="1590118646">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08922778">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3416807">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49168202">
      <w:bodyDiv w:val="1"/>
      <w:marLeft w:val="0"/>
      <w:marRight w:val="0"/>
      <w:marTop w:val="0"/>
      <w:marBottom w:val="0"/>
      <w:divBdr>
        <w:top w:val="none" w:sz="0" w:space="0" w:color="auto"/>
        <w:left w:val="none" w:sz="0" w:space="0" w:color="auto"/>
        <w:bottom w:val="none" w:sz="0" w:space="0" w:color="auto"/>
        <w:right w:val="none" w:sz="0" w:space="0" w:color="auto"/>
      </w:divBdr>
    </w:div>
    <w:div w:id="1653481226">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0231185">
      <w:bodyDiv w:val="1"/>
      <w:marLeft w:val="0"/>
      <w:marRight w:val="0"/>
      <w:marTop w:val="0"/>
      <w:marBottom w:val="0"/>
      <w:divBdr>
        <w:top w:val="none" w:sz="0" w:space="0" w:color="auto"/>
        <w:left w:val="none" w:sz="0" w:space="0" w:color="auto"/>
        <w:bottom w:val="none" w:sz="0" w:space="0" w:color="auto"/>
        <w:right w:val="none" w:sz="0" w:space="0" w:color="auto"/>
      </w:divBdr>
    </w:div>
    <w:div w:id="1662351203">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690523721">
      <w:bodyDiv w:val="1"/>
      <w:marLeft w:val="0"/>
      <w:marRight w:val="0"/>
      <w:marTop w:val="0"/>
      <w:marBottom w:val="0"/>
      <w:divBdr>
        <w:top w:val="none" w:sz="0" w:space="0" w:color="auto"/>
        <w:left w:val="none" w:sz="0" w:space="0" w:color="auto"/>
        <w:bottom w:val="none" w:sz="0" w:space="0" w:color="auto"/>
        <w:right w:val="none" w:sz="0" w:space="0" w:color="auto"/>
      </w:divBdr>
    </w:div>
    <w:div w:id="1707826269">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36198899">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02262417">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622467">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0610846">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49632285">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73347137">
      <w:bodyDiv w:val="1"/>
      <w:marLeft w:val="0"/>
      <w:marRight w:val="0"/>
      <w:marTop w:val="0"/>
      <w:marBottom w:val="0"/>
      <w:divBdr>
        <w:top w:val="none" w:sz="0" w:space="0" w:color="auto"/>
        <w:left w:val="none" w:sz="0" w:space="0" w:color="auto"/>
        <w:bottom w:val="none" w:sz="0" w:space="0" w:color="auto"/>
        <w:right w:val="none" w:sz="0" w:space="0" w:color="auto"/>
      </w:divBdr>
    </w:div>
    <w:div w:id="187446081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893494114">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6816800">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5478870">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78990629">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1990204216">
      <w:bodyDiv w:val="1"/>
      <w:marLeft w:val="0"/>
      <w:marRight w:val="0"/>
      <w:marTop w:val="0"/>
      <w:marBottom w:val="0"/>
      <w:divBdr>
        <w:top w:val="none" w:sz="0" w:space="0" w:color="auto"/>
        <w:left w:val="none" w:sz="0" w:space="0" w:color="auto"/>
        <w:bottom w:val="none" w:sz="0" w:space="0" w:color="auto"/>
        <w:right w:val="none" w:sz="0" w:space="0" w:color="auto"/>
      </w:divBdr>
    </w:div>
    <w:div w:id="2000844473">
      <w:bodyDiv w:val="1"/>
      <w:marLeft w:val="0"/>
      <w:marRight w:val="0"/>
      <w:marTop w:val="0"/>
      <w:marBottom w:val="0"/>
      <w:divBdr>
        <w:top w:val="none" w:sz="0" w:space="0" w:color="auto"/>
        <w:left w:val="none" w:sz="0" w:space="0" w:color="auto"/>
        <w:bottom w:val="none" w:sz="0" w:space="0" w:color="auto"/>
        <w:right w:val="none" w:sz="0" w:space="0" w:color="auto"/>
      </w:divBdr>
    </w:div>
    <w:div w:id="2004119442">
      <w:bodyDiv w:val="1"/>
      <w:marLeft w:val="0"/>
      <w:marRight w:val="0"/>
      <w:marTop w:val="0"/>
      <w:marBottom w:val="0"/>
      <w:divBdr>
        <w:top w:val="none" w:sz="0" w:space="0" w:color="auto"/>
        <w:left w:val="none" w:sz="0" w:space="0" w:color="auto"/>
        <w:bottom w:val="none" w:sz="0" w:space="0" w:color="auto"/>
        <w:right w:val="none" w:sz="0" w:space="0" w:color="auto"/>
      </w:divBdr>
    </w:div>
    <w:div w:id="202436206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4474584">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2022-02-26T17:49:00Z</dcterms:created>
  <dcterms:modified xsi:type="dcterms:W3CDTF">2022-02-26T17:49:00Z</dcterms:modified>
</cp:coreProperties>
</file>