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F36623" w14:textId="703AE22B" w:rsidR="00AC70A6" w:rsidRDefault="0035070B" w:rsidP="006F3D95">
      <w:pPr>
        <w:bidi/>
        <w:spacing w:line="360" w:lineRule="auto"/>
        <w:jc w:val="center"/>
        <w:rPr>
          <w:rFonts w:cs="B Jadid"/>
          <w:sz w:val="28"/>
          <w:szCs w:val="28"/>
          <w:rtl/>
        </w:rPr>
      </w:pPr>
      <w:r w:rsidRPr="00AC70A6">
        <w:rPr>
          <w:rFonts w:cs="B Jadid"/>
          <w:sz w:val="28"/>
          <w:szCs w:val="28"/>
          <w:rtl/>
        </w:rPr>
        <w:t xml:space="preserve">درس خارج فقه کتاب نکاح جلسه </w:t>
      </w:r>
      <w:r w:rsidRPr="00AC70A6">
        <w:rPr>
          <w:rFonts w:cs="B Jadid" w:hint="cs"/>
          <w:sz w:val="28"/>
          <w:szCs w:val="28"/>
          <w:rtl/>
        </w:rPr>
        <w:t>چهارصد و</w:t>
      </w:r>
      <w:r w:rsidR="006D263F" w:rsidRPr="00AC70A6">
        <w:rPr>
          <w:rFonts w:cs="B Jadid" w:hint="cs"/>
          <w:sz w:val="28"/>
          <w:szCs w:val="28"/>
          <w:rtl/>
          <w:lang w:bidi="fa-IR"/>
        </w:rPr>
        <w:t xml:space="preserve"> </w:t>
      </w:r>
      <w:r w:rsidR="009D664E" w:rsidRPr="00AC70A6">
        <w:rPr>
          <w:rFonts w:cs="B Jadid" w:hint="cs"/>
          <w:sz w:val="28"/>
          <w:szCs w:val="28"/>
          <w:rtl/>
          <w:lang w:bidi="fa-IR"/>
        </w:rPr>
        <w:t>پنجاه</w:t>
      </w:r>
      <w:r w:rsidR="00413864" w:rsidRPr="00AC70A6">
        <w:rPr>
          <w:rFonts w:cs="B Jadid" w:hint="cs"/>
          <w:sz w:val="28"/>
          <w:szCs w:val="28"/>
          <w:rtl/>
          <w:lang w:bidi="fa-IR"/>
        </w:rPr>
        <w:t xml:space="preserve"> و </w:t>
      </w:r>
      <w:r w:rsidR="006F3D95">
        <w:rPr>
          <w:rFonts w:cs="B Jadid" w:hint="cs"/>
          <w:sz w:val="28"/>
          <w:szCs w:val="28"/>
          <w:rtl/>
          <w:lang w:bidi="fa-IR"/>
        </w:rPr>
        <w:t>نهم</w:t>
      </w:r>
      <w:r w:rsidR="009D664E" w:rsidRPr="00AC70A6">
        <w:rPr>
          <w:rFonts w:cs="B Jadid" w:hint="cs"/>
          <w:sz w:val="28"/>
          <w:szCs w:val="28"/>
          <w:rtl/>
          <w:lang w:bidi="fa-IR"/>
        </w:rPr>
        <w:t xml:space="preserve"> </w:t>
      </w:r>
      <w:r w:rsidR="00067FAB" w:rsidRPr="00AC70A6">
        <w:rPr>
          <w:rFonts w:cs="B Jadid" w:hint="cs"/>
          <w:sz w:val="28"/>
          <w:szCs w:val="28"/>
          <w:rtl/>
          <w:lang w:bidi="fa-IR"/>
        </w:rPr>
        <w:t xml:space="preserve"> </w:t>
      </w:r>
      <w:r w:rsidR="006F3D95">
        <w:rPr>
          <w:rFonts w:cs="B Jadid" w:hint="cs"/>
          <w:sz w:val="28"/>
          <w:szCs w:val="28"/>
          <w:rtl/>
          <w:lang w:bidi="fa-IR"/>
        </w:rPr>
        <w:t xml:space="preserve">سه </w:t>
      </w:r>
      <w:r w:rsidR="005327EB">
        <w:rPr>
          <w:rFonts w:cs="B Jadid" w:hint="cs"/>
          <w:sz w:val="28"/>
          <w:szCs w:val="28"/>
          <w:rtl/>
          <w:lang w:bidi="fa-IR"/>
        </w:rPr>
        <w:t>شنبه</w:t>
      </w:r>
      <w:r w:rsidR="00354904" w:rsidRPr="00AC70A6">
        <w:rPr>
          <w:rFonts w:cs="B Jadid" w:hint="cs"/>
          <w:sz w:val="28"/>
          <w:szCs w:val="28"/>
          <w:rtl/>
          <w:lang w:bidi="fa-IR"/>
        </w:rPr>
        <w:t xml:space="preserve"> </w:t>
      </w:r>
      <w:r w:rsidR="006F3D95">
        <w:rPr>
          <w:rFonts w:cs="B Jadid" w:hint="cs"/>
          <w:sz w:val="28"/>
          <w:szCs w:val="28"/>
          <w:rtl/>
          <w:lang w:bidi="fa-IR"/>
        </w:rPr>
        <w:t>3</w:t>
      </w:r>
      <w:r w:rsidRPr="00AC70A6">
        <w:rPr>
          <w:rFonts w:cs="B Jadid" w:hint="cs"/>
          <w:sz w:val="28"/>
          <w:szCs w:val="28"/>
          <w:rtl/>
        </w:rPr>
        <w:t>/</w:t>
      </w:r>
      <w:r w:rsidR="004B6D1E" w:rsidRPr="00AC70A6">
        <w:rPr>
          <w:rFonts w:cs="B Jadid" w:hint="cs"/>
          <w:sz w:val="28"/>
          <w:szCs w:val="28"/>
          <w:rtl/>
        </w:rPr>
        <w:t>1</w:t>
      </w:r>
      <w:r w:rsidR="00CF4173" w:rsidRPr="00AC70A6">
        <w:rPr>
          <w:rFonts w:cs="B Jadid" w:hint="cs"/>
          <w:sz w:val="28"/>
          <w:szCs w:val="28"/>
          <w:rtl/>
        </w:rPr>
        <w:t>2</w:t>
      </w:r>
      <w:r w:rsidRPr="00AC70A6">
        <w:rPr>
          <w:rFonts w:cs="B Jadid" w:hint="cs"/>
          <w:sz w:val="28"/>
          <w:szCs w:val="28"/>
          <w:rtl/>
        </w:rPr>
        <w:t>/1400</w:t>
      </w:r>
    </w:p>
    <w:p w14:paraId="1E0380E3" w14:textId="77777777" w:rsidR="006F3D95" w:rsidRDefault="006F3D95" w:rsidP="006F3D95">
      <w:pPr>
        <w:bidi/>
        <w:spacing w:line="360" w:lineRule="auto"/>
        <w:jc w:val="center"/>
        <w:rPr>
          <w:rFonts w:cs="B Jadid"/>
          <w:sz w:val="28"/>
          <w:szCs w:val="28"/>
          <w:rtl/>
        </w:rPr>
      </w:pPr>
    </w:p>
    <w:p w14:paraId="0AE3EB63" w14:textId="77777777" w:rsidR="006F3D95" w:rsidRPr="006F3D95" w:rsidRDefault="006F3D95" w:rsidP="006F3D95">
      <w:pPr>
        <w:bidi/>
        <w:spacing w:line="360" w:lineRule="auto"/>
        <w:jc w:val="both"/>
        <w:rPr>
          <w:rFonts w:cs="B Badr"/>
          <w:sz w:val="32"/>
          <w:szCs w:val="32"/>
        </w:rPr>
      </w:pPr>
      <w:r w:rsidRPr="006F3D95">
        <w:rPr>
          <w:rFonts w:cs="B Badr"/>
          <w:sz w:val="32"/>
          <w:szCs w:val="32"/>
          <w:rtl/>
          <w:lang w:bidi="fa-IR"/>
        </w:rPr>
        <w:t>6 ـ اولويت مستفاد از ادله</w:t>
      </w:r>
      <w:r w:rsidRPr="006F3D95">
        <w:rPr>
          <w:rFonts w:cs="B Badr"/>
          <w:sz w:val="32"/>
          <w:szCs w:val="32"/>
          <w:cs/>
          <w:lang w:bidi="fa-IR"/>
        </w:rPr>
        <w:t>‎</w:t>
      </w:r>
      <w:r w:rsidRPr="006F3D95">
        <w:rPr>
          <w:rFonts w:cs="B Badr"/>
          <w:sz w:val="32"/>
          <w:szCs w:val="32"/>
          <w:rtl/>
          <w:lang w:bidi="fa-IR"/>
        </w:rPr>
        <w:t>ای که برای زوج در جنون زوجه خيار فسخ قرار داده</w:t>
      </w:r>
      <w:r w:rsidRPr="006F3D95">
        <w:rPr>
          <w:rFonts w:cs="B Badr"/>
          <w:sz w:val="32"/>
          <w:szCs w:val="32"/>
          <w:cs/>
          <w:lang w:bidi="fa-IR"/>
        </w:rPr>
        <w:t>‎</w:t>
      </w:r>
      <w:r w:rsidRPr="006F3D95">
        <w:rPr>
          <w:rFonts w:cs="B Badr"/>
          <w:sz w:val="32"/>
          <w:szCs w:val="32"/>
          <w:rtl/>
          <w:lang w:bidi="fa-IR"/>
        </w:rPr>
        <w:t>اند.</w:t>
      </w:r>
    </w:p>
    <w:p w14:paraId="64C9DF13" w14:textId="77777777" w:rsidR="006F3D95" w:rsidRPr="006F3D95" w:rsidRDefault="006F3D95" w:rsidP="006F3D95">
      <w:pPr>
        <w:bidi/>
        <w:spacing w:line="360" w:lineRule="auto"/>
        <w:jc w:val="both"/>
        <w:rPr>
          <w:rFonts w:cs="B Badr"/>
          <w:sz w:val="32"/>
          <w:szCs w:val="32"/>
        </w:rPr>
      </w:pPr>
      <w:r w:rsidRPr="006F3D95">
        <w:rPr>
          <w:rFonts w:cs="B Badr"/>
          <w:sz w:val="32"/>
          <w:szCs w:val="32"/>
          <w:rtl/>
          <w:lang w:bidi="fa-IR"/>
        </w:rPr>
        <w:t>قال السيّد الطباطبائي في الرياض: «فحوى ما دلّ على أنّه عيب في المرأة من النصوص المستفيضة؛ بناءً على أنّ الرجل له التخلّص بالطلاق لو وجد فيها، فثبوت الخيار له مع ذلك ملازم لثبوته لها لو وجد فيه بطريق أولى؛ لعدم إمكان تخلّصها بدونه أصلاً.</w:t>
      </w:r>
    </w:p>
    <w:p w14:paraId="29516019" w14:textId="6BBA96DF" w:rsidR="006F3D95" w:rsidRPr="006F3D95" w:rsidRDefault="006F3D95" w:rsidP="006F3D95">
      <w:pPr>
        <w:bidi/>
        <w:spacing w:line="360" w:lineRule="auto"/>
        <w:jc w:val="both"/>
        <w:rPr>
          <w:rFonts w:cs="B Badr"/>
          <w:sz w:val="32"/>
          <w:szCs w:val="32"/>
        </w:rPr>
      </w:pPr>
      <w:r w:rsidRPr="006F3D95">
        <w:rPr>
          <w:rFonts w:cs="B Badr"/>
          <w:sz w:val="32"/>
          <w:szCs w:val="32"/>
          <w:rtl/>
          <w:lang w:bidi="fa-IR"/>
        </w:rPr>
        <w:t>وتوقّفه على ثبوت التعليل في الأصل ليستحقّ الأولويّة وليس بثابت، المناقشة فيه واضحة، إذ المستند في اعتباره فهم العرف لا ثبوت التعليل. كيف لا؟! وقد دلّ آية حرمة التأفيف على حرمة الأقوى من أنواع الأذى ومسلّم الدلالة عند العلماء؛ مع أنّه لا إشعار فيها بالتعليل فضلاً عن الظهور، وهو هنا ثابت،</w:t>
      </w:r>
      <w:r>
        <w:rPr>
          <w:rFonts w:cs="B Badr" w:hint="cs"/>
          <w:sz w:val="32"/>
          <w:szCs w:val="32"/>
          <w:rtl/>
          <w:lang w:bidi="fa-IR"/>
        </w:rPr>
        <w:t xml:space="preserve"> </w:t>
      </w:r>
      <w:r w:rsidRPr="006F3D95">
        <w:rPr>
          <w:rFonts w:cs="B Badr"/>
          <w:sz w:val="32"/>
          <w:szCs w:val="32"/>
          <w:rtl/>
          <w:lang w:bidi="fa-IR"/>
        </w:rPr>
        <w:t>فمتابعته واجب.</w:t>
      </w:r>
    </w:p>
    <w:p w14:paraId="31E078EC" w14:textId="77777777" w:rsidR="006F3D95" w:rsidRPr="006F3D95" w:rsidRDefault="006F3D95" w:rsidP="006F3D95">
      <w:pPr>
        <w:bidi/>
        <w:spacing w:line="360" w:lineRule="auto"/>
        <w:jc w:val="both"/>
        <w:rPr>
          <w:rFonts w:cs="B Badr"/>
          <w:sz w:val="32"/>
          <w:szCs w:val="32"/>
        </w:rPr>
      </w:pPr>
      <w:r w:rsidRPr="006F3D95">
        <w:rPr>
          <w:rFonts w:cs="B Badr"/>
          <w:sz w:val="32"/>
          <w:szCs w:val="32"/>
          <w:rtl/>
          <w:lang w:bidi="fa-IR"/>
        </w:rPr>
        <w:t>ويومئ إلى ما ذكرنا من استناد حجّية الفحوى إلى فهم العرف لا إلى ثبوت التعليل تقسيم العلماء القياس الحجّة إلى الأولويّة والمنصوص العلّة، فلو توقّف حجّية الأوّل على ثبوت العلّة لكان من الثاني، فلا وجه للتقسيم وجعل قسم الشي‌ء قسيمه، فتأمّل جدّاً.»</w:t>
      </w:r>
    </w:p>
    <w:p w14:paraId="7EF80194" w14:textId="77777777" w:rsidR="006F3D95" w:rsidRPr="006F3D95" w:rsidRDefault="006F3D95" w:rsidP="006F3D95">
      <w:pPr>
        <w:bidi/>
        <w:spacing w:line="360" w:lineRule="auto"/>
        <w:rPr>
          <w:rFonts w:cs="B Badr"/>
          <w:sz w:val="32"/>
          <w:szCs w:val="32"/>
          <w:lang w:bidi="fa-IR"/>
        </w:rPr>
      </w:pPr>
      <w:r w:rsidRPr="006F3D95">
        <w:rPr>
          <w:rFonts w:cs="B Badr"/>
          <w:sz w:val="32"/>
          <w:szCs w:val="32"/>
          <w:rtl/>
          <w:lang w:bidi="fa-IR"/>
        </w:rPr>
        <w:lastRenderedPageBreak/>
        <w:t>اما اشکال اين مدعا اين است که قياس ما نحن فيه به آيه تأفيف، واضح المنع است، چون وضوح اولويت مستفاد از آيه شريفه به نحوی است که احدی در آن شک نمی</w:t>
      </w:r>
      <w:r w:rsidRPr="006F3D95">
        <w:rPr>
          <w:rFonts w:cs="B Badr"/>
          <w:sz w:val="32"/>
          <w:szCs w:val="32"/>
          <w:cs/>
          <w:lang w:bidi="fa-IR"/>
        </w:rPr>
        <w:t>‎</w:t>
      </w:r>
      <w:r w:rsidRPr="006F3D95">
        <w:rPr>
          <w:rFonts w:cs="B Badr"/>
          <w:sz w:val="32"/>
          <w:szCs w:val="32"/>
          <w:rtl/>
          <w:lang w:bidi="fa-IR"/>
        </w:rPr>
        <w:t>تواند بکند، در حالی که در ما نحن فيه، اين مطلب دارای آن وضوح نيست. فلذا اگر مردی مجنون نبوده اما دارای خشونت زيادی باشد به نحوی که زن از زندگی کردن با وی دچار حرج و مشقت زيادی گردد، و يافلج و زمين</w:t>
      </w:r>
      <w:r w:rsidRPr="006F3D95">
        <w:rPr>
          <w:rFonts w:cs="B Badr"/>
          <w:sz w:val="32"/>
          <w:szCs w:val="32"/>
          <w:cs/>
          <w:lang w:bidi="fa-IR"/>
        </w:rPr>
        <w:t>‎</w:t>
      </w:r>
      <w:r w:rsidRPr="006F3D95">
        <w:rPr>
          <w:rFonts w:cs="B Badr"/>
          <w:sz w:val="32"/>
          <w:szCs w:val="32"/>
          <w:rtl/>
          <w:lang w:bidi="fa-IR"/>
        </w:rPr>
        <w:t>گير باشد و يا مغمی عليه باشد، نمی</w:t>
      </w:r>
      <w:r w:rsidRPr="006F3D95">
        <w:rPr>
          <w:rFonts w:cs="B Badr"/>
          <w:sz w:val="32"/>
          <w:szCs w:val="32"/>
          <w:cs/>
          <w:lang w:bidi="fa-IR"/>
        </w:rPr>
        <w:t>‎</w:t>
      </w:r>
      <w:r w:rsidRPr="006F3D95">
        <w:rPr>
          <w:rFonts w:cs="B Badr"/>
          <w:sz w:val="32"/>
          <w:szCs w:val="32"/>
          <w:rtl/>
          <w:lang w:bidi="fa-IR"/>
        </w:rPr>
        <w:t>توان قائل به حق فسخ برای زوجه شد در حالی که ممکن است اين عيب در مرد عرفاً از عيب جنون اندک و ادواری کمتر باشد.</w:t>
      </w:r>
    </w:p>
    <w:p w14:paraId="0B618AAC"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بنابر اين معلوم شد که مستند اصلی مسأله، معتبره علی بن ابی حمزه است که با استناد به فحوای آن می</w:t>
      </w:r>
      <w:r w:rsidRPr="006F3D95">
        <w:rPr>
          <w:rFonts w:cs="B Badr"/>
          <w:sz w:val="32"/>
          <w:szCs w:val="32"/>
          <w:cs/>
          <w:lang w:bidi="fa-IR"/>
        </w:rPr>
        <w:t>‎</w:t>
      </w:r>
      <w:r w:rsidRPr="006F3D95">
        <w:rPr>
          <w:rFonts w:cs="B Badr"/>
          <w:sz w:val="32"/>
          <w:szCs w:val="32"/>
          <w:rtl/>
          <w:lang w:bidi="fa-IR"/>
        </w:rPr>
        <w:t>توان قائل به حق فسخ برای زوجه شد.</w:t>
      </w:r>
    </w:p>
    <w:p w14:paraId="38119E5C"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البته روايتی در مقام وجود دارد که ممکن است برخی به آن تمسک کرده و حق خيار زوجه را در نکاح به واسطه عيب مطلقاً انکار نمايند.</w:t>
      </w:r>
    </w:p>
    <w:p w14:paraId="16F4F9E7"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صحيحة عبّاد الضبّيّ عن أبي عبدالله(ع)، قال: «في العنّين إذا علم أنّه عنّين</w:t>
      </w:r>
      <w:r w:rsidRPr="006F3D95">
        <w:rPr>
          <w:rFonts w:cs="B Badr"/>
          <w:sz w:val="32"/>
          <w:szCs w:val="32"/>
          <w:rtl/>
          <w:lang w:bidi="fa-IR"/>
        </w:rPr>
        <w:br/>
        <w:t>لا يأتي النساء</w:t>
      </w:r>
      <w:r w:rsidRPr="006F3D95">
        <w:rPr>
          <w:rFonts w:cs="B Badr"/>
          <w:sz w:val="32"/>
          <w:szCs w:val="32"/>
          <w:lang w:bidi="fa-IR"/>
        </w:rPr>
        <w:t>‌</w:t>
      </w:r>
      <w:r w:rsidRPr="006F3D95">
        <w:rPr>
          <w:rFonts w:cs="B Badr"/>
          <w:sz w:val="32"/>
          <w:szCs w:val="32"/>
          <w:rtl/>
          <w:lang w:bidi="fa-IR"/>
        </w:rPr>
        <w:t xml:space="preserve"> فرّق بينهما وإذا وقع عليها وقعة واحدة لم يفرّق بينهما، والرجل</w:t>
      </w:r>
      <w:r w:rsidRPr="006F3D95">
        <w:rPr>
          <w:rFonts w:cs="B Badr"/>
          <w:sz w:val="32"/>
          <w:szCs w:val="32"/>
          <w:rtl/>
          <w:lang w:bidi="fa-IR"/>
        </w:rPr>
        <w:br/>
        <w:t>لا يردّ من عيب.»</w:t>
      </w:r>
    </w:p>
    <w:p w14:paraId="0C2FEA97" w14:textId="77777777" w:rsidR="006F3D95" w:rsidRPr="006F3D95" w:rsidRDefault="006F3D95" w:rsidP="006F3D95">
      <w:pPr>
        <w:bidi/>
        <w:spacing w:line="360" w:lineRule="auto"/>
        <w:jc w:val="both"/>
        <w:rPr>
          <w:rFonts w:cs="B Badr"/>
          <w:sz w:val="32"/>
          <w:szCs w:val="32"/>
        </w:rPr>
      </w:pPr>
      <w:r w:rsidRPr="006F3D95">
        <w:rPr>
          <w:rFonts w:cs="B Badr"/>
          <w:sz w:val="32"/>
          <w:szCs w:val="32"/>
          <w:rtl/>
          <w:lang w:bidi="fa-IR"/>
        </w:rPr>
        <w:lastRenderedPageBreak/>
        <w:t>وجه تمسک به روايت، تمسک به اطلاق ذيل آن است که دلالت بر عدم جواز فسخ نکاح به واسطه عيوب زوج دارد.</w:t>
      </w:r>
    </w:p>
    <w:p w14:paraId="25474B65" w14:textId="77777777" w:rsidR="006F3D95" w:rsidRPr="006F3D95" w:rsidRDefault="006F3D95" w:rsidP="006F3D95">
      <w:pPr>
        <w:bidi/>
        <w:spacing w:line="360" w:lineRule="auto"/>
        <w:jc w:val="both"/>
        <w:rPr>
          <w:rFonts w:cs="B Badr"/>
          <w:sz w:val="32"/>
          <w:szCs w:val="32"/>
        </w:rPr>
      </w:pPr>
      <w:r w:rsidRPr="006F3D95">
        <w:rPr>
          <w:rFonts w:cs="B Badr"/>
          <w:sz w:val="32"/>
          <w:szCs w:val="32"/>
          <w:rtl/>
          <w:lang w:bidi="fa-IR"/>
        </w:rPr>
        <w:t>اما اشکال اين مطلب اين است که تمسک به اطلاق ذيل روايت منوط بر اين است که الف و لام «الرجل» الف و لام جنس باشد، در حالی که احتمال قوی وجود دارد که الف و لام عهد ذکری باشد، بدين معنا که مردی که بتواند يک بار مواقعه کند، به واسطه عيب رد نمی</w:t>
      </w:r>
      <w:r w:rsidRPr="006F3D95">
        <w:rPr>
          <w:rFonts w:cs="B Badr"/>
          <w:sz w:val="32"/>
          <w:szCs w:val="32"/>
          <w:cs/>
          <w:lang w:bidi="fa-IR"/>
        </w:rPr>
        <w:t>‎</w:t>
      </w:r>
      <w:r w:rsidRPr="006F3D95">
        <w:rPr>
          <w:rFonts w:cs="B Badr"/>
          <w:sz w:val="32"/>
          <w:szCs w:val="32"/>
          <w:rtl/>
          <w:lang w:bidi="fa-IR"/>
        </w:rPr>
        <w:t>شود، نه اين که مرد مطلقاً به واسطه عيب رد نمی</w:t>
      </w:r>
      <w:r w:rsidRPr="006F3D95">
        <w:rPr>
          <w:rFonts w:cs="B Badr"/>
          <w:sz w:val="32"/>
          <w:szCs w:val="32"/>
          <w:cs/>
          <w:lang w:bidi="fa-IR"/>
        </w:rPr>
        <w:t>‎</w:t>
      </w:r>
      <w:r w:rsidRPr="006F3D95">
        <w:rPr>
          <w:rFonts w:cs="B Badr"/>
          <w:sz w:val="32"/>
          <w:szCs w:val="32"/>
          <w:rtl/>
          <w:lang w:bidi="fa-IR"/>
        </w:rPr>
        <w:t>شود چون در اين صورت ذيل روايت با صدر آن در تهافت خوهد بود.</w:t>
      </w:r>
    </w:p>
    <w:p w14:paraId="3B241F6F" w14:textId="77777777" w:rsidR="006F3D95" w:rsidRPr="006F3D95" w:rsidRDefault="006F3D95" w:rsidP="006F3D95">
      <w:pPr>
        <w:bidi/>
        <w:spacing w:line="360" w:lineRule="auto"/>
        <w:jc w:val="both"/>
        <w:rPr>
          <w:rFonts w:cs="B Badr"/>
          <w:b/>
          <w:bCs/>
          <w:sz w:val="32"/>
          <w:szCs w:val="32"/>
        </w:rPr>
      </w:pPr>
      <w:r w:rsidRPr="006F3D95">
        <w:rPr>
          <w:rFonts w:cs="B Badr"/>
          <w:b/>
          <w:bCs/>
          <w:sz w:val="32"/>
          <w:szCs w:val="32"/>
          <w:rtl/>
          <w:lang w:bidi="fa-IR"/>
        </w:rPr>
        <w:t>فرع سوم: عدم تفاوت بين جنون ادواری و اطباقی و نکاح دائم و موقت</w:t>
      </w:r>
    </w:p>
    <w:p w14:paraId="0D959E4A" w14:textId="77777777" w:rsidR="006F3D95" w:rsidRPr="006F3D95" w:rsidRDefault="006F3D95" w:rsidP="006F3D95">
      <w:pPr>
        <w:bidi/>
        <w:spacing w:line="360" w:lineRule="auto"/>
        <w:rPr>
          <w:rFonts w:cs="B Badr"/>
          <w:sz w:val="32"/>
          <w:szCs w:val="32"/>
          <w:lang w:bidi="fa-IR"/>
        </w:rPr>
      </w:pPr>
      <w:r w:rsidRPr="006F3D95">
        <w:rPr>
          <w:rFonts w:cs="B Badr"/>
          <w:sz w:val="32"/>
          <w:szCs w:val="32"/>
          <w:rtl/>
          <w:lang w:bidi="fa-IR"/>
        </w:rPr>
        <w:t>همان گونه که در فرع سابق گذشت، مستند اصلی حکم در اين مسأله، فحوایمعتبره علی بن ابی حمزه است و آنچه که در اين معتبره آمده است، جواز فسخ برای زن در صورت عروض جنون است بر زوج است که اطلاق آن هم شامل جنون ادواری می</w:t>
      </w:r>
      <w:r w:rsidRPr="006F3D95">
        <w:rPr>
          <w:rFonts w:cs="B Badr"/>
          <w:sz w:val="32"/>
          <w:szCs w:val="32"/>
          <w:cs/>
          <w:lang w:bidi="fa-IR"/>
        </w:rPr>
        <w:t>‎</w:t>
      </w:r>
      <w:r w:rsidRPr="006F3D95">
        <w:rPr>
          <w:rFonts w:cs="B Badr"/>
          <w:sz w:val="32"/>
          <w:szCs w:val="32"/>
          <w:rtl/>
          <w:lang w:bidi="fa-IR"/>
        </w:rPr>
        <w:t>شود و هم جنون اطباقی، همان گونه که هم نکاح دائم را شامل است و هم نکاح موقت را.</w:t>
      </w:r>
    </w:p>
    <w:p w14:paraId="3FE6226C"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البته برخی بين جنون ادواری و اطباقی فرق گذاشته</w:t>
      </w:r>
      <w:r w:rsidRPr="006F3D95">
        <w:rPr>
          <w:rFonts w:cs="B Badr"/>
          <w:sz w:val="32"/>
          <w:szCs w:val="32"/>
          <w:cs/>
          <w:lang w:bidi="fa-IR"/>
        </w:rPr>
        <w:t>‎</w:t>
      </w:r>
      <w:r w:rsidRPr="006F3D95">
        <w:rPr>
          <w:rFonts w:cs="B Badr"/>
          <w:sz w:val="32"/>
          <w:szCs w:val="32"/>
          <w:rtl/>
          <w:lang w:bidi="fa-IR"/>
        </w:rPr>
        <w:t>اند و کلمات اصحاب و همچنين مرسله صدوق را که سابقاً گذشت، حمل بر جنون ادواری کرده</w:t>
      </w:r>
      <w:r w:rsidRPr="006F3D95">
        <w:rPr>
          <w:rFonts w:cs="B Badr"/>
          <w:sz w:val="32"/>
          <w:szCs w:val="32"/>
          <w:cs/>
          <w:lang w:bidi="fa-IR"/>
        </w:rPr>
        <w:t>‎</w:t>
      </w:r>
      <w:r w:rsidRPr="006F3D95">
        <w:rPr>
          <w:rFonts w:cs="B Badr"/>
          <w:sz w:val="32"/>
          <w:szCs w:val="32"/>
          <w:rtl/>
          <w:lang w:bidi="fa-IR"/>
        </w:rPr>
        <w:t>اند.</w:t>
      </w:r>
    </w:p>
    <w:p w14:paraId="7AC36325"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قال السيّد الطباطبائي في الرياض: «عيوب الرجل المسلّطة لزوجته على فسخ نكاحه أربعة:</w:t>
      </w:r>
    </w:p>
    <w:p w14:paraId="112C83A8" w14:textId="77777777" w:rsidR="006F3D95" w:rsidRPr="006F3D95" w:rsidRDefault="006F3D95" w:rsidP="006F3D95">
      <w:pPr>
        <w:bidi/>
        <w:spacing w:line="360" w:lineRule="auto"/>
        <w:rPr>
          <w:rFonts w:cs="B Badr"/>
          <w:sz w:val="32"/>
          <w:szCs w:val="32"/>
          <w:lang w:bidi="fa-IR"/>
        </w:rPr>
      </w:pPr>
      <w:r w:rsidRPr="006F3D95">
        <w:rPr>
          <w:rFonts w:cs="B Badr"/>
          <w:sz w:val="32"/>
          <w:szCs w:val="32"/>
          <w:rtl/>
          <w:lang w:bidi="fa-IR"/>
        </w:rPr>
        <w:lastRenderedPageBreak/>
        <w:t>الأول: الجنون المطبق مطلقاً أو الأدواري الذي لا يعقل معه أوقات الصلاة إجماعاً، كما يظهر من جماعة. وكذا الذي يعقلها معه مطلقاً، كان قبل العقد أو تجدّدبعده مطلقاً؛ على الأشهر الأظهر في الأوّل، بل كاد أن يكون إجماعاً، بل صرّح به بعض الأجلّة خلافاً لابن حمزة... وعلى قول في الأخير خلافاً لأكثر القدماء.»</w:t>
      </w:r>
    </w:p>
    <w:p w14:paraId="73C36CF0"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اما حق اين است که تفصيل مذکور وجهی ندارد و حمل مرسله صدوق بر جنون ادواری حملی بدون قرينه و تبرعی است. مضافاً بر اين که همچنان که سابقاً گذشت، مرسله مذکور فاقد اعتبار بوده و دارای حجيت نيست.</w:t>
      </w:r>
    </w:p>
    <w:p w14:paraId="2B373A23" w14:textId="77777777" w:rsidR="006F3D95" w:rsidRPr="006F3D95" w:rsidRDefault="006F3D95" w:rsidP="006F3D95">
      <w:pPr>
        <w:bidi/>
        <w:spacing w:line="360" w:lineRule="auto"/>
        <w:jc w:val="both"/>
        <w:rPr>
          <w:rFonts w:cs="B Badr"/>
          <w:b/>
          <w:bCs/>
          <w:sz w:val="32"/>
          <w:szCs w:val="32"/>
          <w:lang w:bidi="fa-IR"/>
        </w:rPr>
      </w:pPr>
      <w:r w:rsidRPr="006F3D95">
        <w:rPr>
          <w:rFonts w:cs="B Badr"/>
          <w:b/>
          <w:bCs/>
          <w:sz w:val="32"/>
          <w:szCs w:val="32"/>
          <w:rtl/>
          <w:lang w:bidi="fa-IR"/>
        </w:rPr>
        <w:t>فرع چهارم: عروض جنون بعد از نکاح</w:t>
      </w:r>
    </w:p>
    <w:p w14:paraId="601D4380" w14:textId="77777777" w:rsidR="006F3D95" w:rsidRPr="006F3D95" w:rsidRDefault="006F3D95" w:rsidP="006F3D95">
      <w:pPr>
        <w:bidi/>
        <w:spacing w:line="360" w:lineRule="auto"/>
        <w:rPr>
          <w:rFonts w:cs="B Badr"/>
          <w:sz w:val="32"/>
          <w:szCs w:val="32"/>
          <w:lang w:bidi="fa-IR"/>
        </w:rPr>
      </w:pPr>
      <w:r w:rsidRPr="006F3D95">
        <w:rPr>
          <w:rFonts w:cs="B Badr"/>
          <w:sz w:val="32"/>
          <w:szCs w:val="32"/>
          <w:rtl/>
          <w:lang w:bidi="fa-IR"/>
        </w:rPr>
        <w:t>در خصوص اين که عروض جنون بر زوج بعد از نکاح سبب خيار فسخ برای زوجه می</w:t>
      </w:r>
      <w:r w:rsidRPr="006F3D95">
        <w:rPr>
          <w:rFonts w:cs="B Badr"/>
          <w:sz w:val="32"/>
          <w:szCs w:val="32"/>
          <w:cs/>
          <w:lang w:bidi="fa-IR"/>
        </w:rPr>
        <w:t>‎</w:t>
      </w:r>
      <w:r w:rsidRPr="006F3D95">
        <w:rPr>
          <w:rFonts w:cs="B Badr"/>
          <w:sz w:val="32"/>
          <w:szCs w:val="32"/>
          <w:rtl/>
          <w:lang w:bidi="fa-IR"/>
        </w:rPr>
        <w:t>گردد، اشکالی بجز آنچه از صاحب مدارک گذشت، وجود ندارد. البته اختلاف در اين که آيا جنون عارض بعد از عقد مطلقاً سبب خيار زوجه است يا اين که خيار او منوط بر اين است که زوج اوقات نماز را تشخيصندهد، وجود دارد که تفصيل آن سابقاً گذشت.</w:t>
      </w:r>
    </w:p>
    <w:p w14:paraId="5DB37704"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همچنان که فرقی نيست که عروض جنون قبل از وطی باشد يا بعد از آن، زيرا معتبره علی بن ابی حمزه از اين جهت دارای اطلاق است.</w:t>
      </w:r>
    </w:p>
    <w:p w14:paraId="48E9B569"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lastRenderedPageBreak/>
        <w:t>نياز فراق به طلاق</w:t>
      </w:r>
    </w:p>
    <w:p w14:paraId="48E158A2"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در خصوص نحوه فراق در جنونی که از حين عقد وجود داشته باشد، خلافی نيست که به واسطه فسخ زوجه حاصل می</w:t>
      </w:r>
      <w:r w:rsidRPr="006F3D95">
        <w:rPr>
          <w:rFonts w:cs="B Badr"/>
          <w:sz w:val="32"/>
          <w:szCs w:val="32"/>
          <w:cs/>
          <w:lang w:bidi="fa-IR"/>
        </w:rPr>
        <w:t>‎</w:t>
      </w:r>
      <w:r w:rsidRPr="006F3D95">
        <w:rPr>
          <w:rFonts w:cs="B Badr"/>
          <w:sz w:val="32"/>
          <w:szCs w:val="32"/>
          <w:rtl/>
          <w:lang w:bidi="fa-IR"/>
        </w:rPr>
        <w:t>شود.</w:t>
      </w:r>
    </w:p>
    <w:p w14:paraId="08121061"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اما در جنون عارضی زوج در مورد نحوه فراق، دو قول در بين اصحاب وجود دارد:</w:t>
      </w:r>
    </w:p>
    <w:p w14:paraId="380AFE54" w14:textId="77777777" w:rsidR="006F3D95" w:rsidRPr="006F3D95" w:rsidRDefault="006F3D95" w:rsidP="006F3D95">
      <w:pPr>
        <w:bidi/>
        <w:spacing w:line="360" w:lineRule="auto"/>
        <w:jc w:val="both"/>
        <w:rPr>
          <w:rFonts w:cs="B Badr"/>
          <w:b/>
          <w:bCs/>
          <w:sz w:val="32"/>
          <w:szCs w:val="32"/>
          <w:lang w:bidi="fa-IR"/>
        </w:rPr>
      </w:pPr>
      <w:r w:rsidRPr="006F3D95">
        <w:rPr>
          <w:rFonts w:cs="B Badr"/>
          <w:b/>
          <w:bCs/>
          <w:sz w:val="32"/>
          <w:szCs w:val="32"/>
          <w:rtl/>
          <w:lang w:bidi="fa-IR"/>
        </w:rPr>
        <w:t>قول اول: فراق با طلاق</w:t>
      </w:r>
    </w:p>
    <w:p w14:paraId="1B75AF34" w14:textId="4A3B9715"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قال الشيخ في النهاية: «إن حدث بالرجل جنّة يعقل معها أوقات الصلوات،</w:t>
      </w:r>
      <w:r>
        <w:rPr>
          <w:rFonts w:cs="B Badr" w:hint="cs"/>
          <w:sz w:val="32"/>
          <w:szCs w:val="32"/>
          <w:rtl/>
          <w:lang w:bidi="fa-IR"/>
        </w:rPr>
        <w:t xml:space="preserve"> </w:t>
      </w:r>
      <w:r w:rsidRPr="006F3D95">
        <w:rPr>
          <w:rFonts w:cs="B Badr"/>
          <w:sz w:val="32"/>
          <w:szCs w:val="32"/>
          <w:rtl/>
          <w:lang w:bidi="fa-IR"/>
        </w:rPr>
        <w:t>لم يكن لها اختيار. وإن لم يعقل أوقات الصلوات، كان لها الخيار. فإن اختارت</w:t>
      </w:r>
      <w:r>
        <w:rPr>
          <w:rFonts w:cs="B Badr" w:hint="cs"/>
          <w:sz w:val="32"/>
          <w:szCs w:val="32"/>
          <w:rtl/>
          <w:lang w:bidi="fa-IR"/>
        </w:rPr>
        <w:t xml:space="preserve"> </w:t>
      </w:r>
      <w:r w:rsidRPr="006F3D95">
        <w:rPr>
          <w:rFonts w:cs="B Badr"/>
          <w:sz w:val="32"/>
          <w:szCs w:val="32"/>
          <w:rtl/>
          <w:lang w:bidi="fa-IR"/>
        </w:rPr>
        <w:t>فراقه، كان على وليّه أن يطلّقها.» ومثله کلام ابن البراج في المهذّب.</w:t>
      </w:r>
    </w:p>
    <w:p w14:paraId="0CCF296C" w14:textId="0FF214AE" w:rsidR="006F3D95" w:rsidRDefault="006F3D95" w:rsidP="006F3D95">
      <w:pPr>
        <w:bidi/>
        <w:spacing w:line="360" w:lineRule="auto"/>
        <w:jc w:val="both"/>
        <w:rPr>
          <w:rFonts w:cs="B Badr"/>
          <w:sz w:val="32"/>
          <w:szCs w:val="32"/>
          <w:rtl/>
          <w:lang w:bidi="fa-IR"/>
        </w:rPr>
      </w:pPr>
      <w:r w:rsidRPr="006F3D95">
        <w:rPr>
          <w:rFonts w:cs="B Badr"/>
          <w:sz w:val="32"/>
          <w:szCs w:val="32"/>
          <w:rtl/>
          <w:lang w:bidi="fa-IR"/>
        </w:rPr>
        <w:t>وقال ابن زهرة في الغنية: «الجنون الحادث بعد الدخول إن كان يعقل معه أوقات الصلاة، فلا خيار</w:t>
      </w:r>
      <w:r w:rsidRPr="006F3D95">
        <w:rPr>
          <w:rFonts w:cs="B Badr"/>
          <w:sz w:val="32"/>
          <w:szCs w:val="32"/>
          <w:lang w:bidi="fa-IR"/>
        </w:rPr>
        <w:t>‌</w:t>
      </w:r>
      <w:r w:rsidRPr="006F3D95">
        <w:rPr>
          <w:rFonts w:cs="B Badr"/>
          <w:sz w:val="32"/>
          <w:szCs w:val="32"/>
          <w:rtl/>
          <w:lang w:bidi="fa-IR"/>
        </w:rPr>
        <w:t xml:space="preserve"> لها في فراقه، وإن كان لا يعقل ذلك كان لها الخيار ولزم وليّه أن يطلّقها منه إن طلبت الفراق، بلا خلاف بين أصحابنا.»</w:t>
      </w:r>
    </w:p>
    <w:p w14:paraId="55100524" w14:textId="62A21D2D" w:rsidR="006F3D95" w:rsidRDefault="006F3D95" w:rsidP="006F3D95">
      <w:pPr>
        <w:bidi/>
        <w:spacing w:line="360" w:lineRule="auto"/>
        <w:jc w:val="both"/>
        <w:rPr>
          <w:rFonts w:cs="B Badr"/>
          <w:sz w:val="32"/>
          <w:szCs w:val="32"/>
          <w:rtl/>
          <w:lang w:bidi="fa-IR"/>
        </w:rPr>
      </w:pPr>
    </w:p>
    <w:p w14:paraId="00464528" w14:textId="77777777" w:rsidR="006F3D95" w:rsidRPr="006F3D95" w:rsidRDefault="006F3D95" w:rsidP="006F3D95">
      <w:pPr>
        <w:bidi/>
        <w:spacing w:line="360" w:lineRule="auto"/>
        <w:jc w:val="both"/>
        <w:rPr>
          <w:rFonts w:cs="B Badr"/>
          <w:sz w:val="32"/>
          <w:szCs w:val="32"/>
          <w:lang w:bidi="fa-IR"/>
        </w:rPr>
      </w:pPr>
    </w:p>
    <w:p w14:paraId="0274CB50" w14:textId="77777777" w:rsidR="006F3D95" w:rsidRPr="006F3D95" w:rsidRDefault="006F3D95" w:rsidP="006F3D95">
      <w:pPr>
        <w:bidi/>
        <w:spacing w:line="360" w:lineRule="auto"/>
        <w:jc w:val="both"/>
        <w:rPr>
          <w:rFonts w:cs="B Badr"/>
          <w:b/>
          <w:bCs/>
          <w:sz w:val="32"/>
          <w:szCs w:val="32"/>
          <w:lang w:bidi="fa-IR"/>
        </w:rPr>
      </w:pPr>
      <w:r w:rsidRPr="006F3D95">
        <w:rPr>
          <w:rFonts w:cs="B Badr"/>
          <w:b/>
          <w:bCs/>
          <w:sz w:val="32"/>
          <w:szCs w:val="32"/>
          <w:rtl/>
          <w:lang w:bidi="fa-IR"/>
        </w:rPr>
        <w:lastRenderedPageBreak/>
        <w:t>قول دوم: فراق با فسخ زوجه</w:t>
      </w:r>
    </w:p>
    <w:p w14:paraId="55A85C95" w14:textId="29FDFD7B"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قال العلامة في المختلف: «هل يفتقر فسخ المرأة في المتجدّد إلى طلاق؟ ظاهر كلام الشيخ في النهاية ذلك، وكذا من وافقه على كلامه إلا ابن إدريس، فإنّه</w:t>
      </w:r>
      <w:r>
        <w:rPr>
          <w:rFonts w:cs="B Badr" w:hint="cs"/>
          <w:sz w:val="32"/>
          <w:szCs w:val="32"/>
          <w:rtl/>
          <w:lang w:bidi="fa-IR"/>
        </w:rPr>
        <w:t xml:space="preserve"> </w:t>
      </w:r>
      <w:r w:rsidRPr="006F3D95">
        <w:rPr>
          <w:rFonts w:cs="B Badr"/>
          <w:sz w:val="32"/>
          <w:szCs w:val="32"/>
          <w:rtl/>
          <w:lang w:bidi="fa-IR"/>
        </w:rPr>
        <w:t>لم يذكر الطلاق.</w:t>
      </w:r>
    </w:p>
    <w:p w14:paraId="36F49387" w14:textId="77777777" w:rsidR="006F3D95" w:rsidRPr="006F3D95" w:rsidRDefault="006F3D95" w:rsidP="006F3D95">
      <w:pPr>
        <w:bidi/>
        <w:spacing w:line="360" w:lineRule="auto"/>
        <w:jc w:val="both"/>
        <w:rPr>
          <w:rFonts w:cs="B Badr"/>
          <w:sz w:val="32"/>
          <w:szCs w:val="32"/>
          <w:lang w:bidi="fa-IR"/>
        </w:rPr>
      </w:pPr>
      <w:r w:rsidRPr="006F3D95">
        <w:rPr>
          <w:rFonts w:cs="B Badr"/>
          <w:sz w:val="32"/>
          <w:szCs w:val="32"/>
          <w:rtl/>
          <w:lang w:bidi="fa-IR"/>
        </w:rPr>
        <w:t>والوجه أنّه لا يفتقر إلى طلاق، سواء تجدّد بعد الدخول أو قبله، كغيره من العيوب.»</w:t>
      </w:r>
    </w:p>
    <w:p w14:paraId="4FA22035" w14:textId="207D36F4" w:rsidR="006F3D95" w:rsidRPr="006F3D95" w:rsidRDefault="006F3D95" w:rsidP="006F3D95">
      <w:pPr>
        <w:bidi/>
        <w:spacing w:line="360" w:lineRule="auto"/>
        <w:rPr>
          <w:rFonts w:cs="B Badr"/>
          <w:sz w:val="32"/>
          <w:szCs w:val="32"/>
          <w:lang w:bidi="fa-IR"/>
        </w:rPr>
      </w:pPr>
      <w:r w:rsidRPr="006F3D95">
        <w:rPr>
          <w:rFonts w:cs="B Badr"/>
          <w:sz w:val="32"/>
          <w:szCs w:val="32"/>
          <w:rtl/>
          <w:lang w:bidi="fa-IR"/>
        </w:rPr>
        <w:t>اين قول، قول مشهور اصحاب نيز هست.</w:t>
      </w:r>
      <w:r w:rsidRPr="006F3D95">
        <w:rPr>
          <w:rFonts w:ascii="Calibri" w:eastAsiaTheme="minorEastAsia" w:hAnsi="Abz-2 (Badr)"/>
          <w:color w:val="000000" w:themeColor="text1"/>
          <w:kern w:val="24"/>
          <w:sz w:val="64"/>
          <w:szCs w:val="64"/>
          <w:rtl/>
          <w:lang w:bidi="fa-IR"/>
        </w:rPr>
        <w:t xml:space="preserve"> </w:t>
      </w:r>
      <w:r w:rsidRPr="006F3D95">
        <w:rPr>
          <w:rFonts w:cs="B Badr"/>
          <w:sz w:val="32"/>
          <w:szCs w:val="32"/>
          <w:rtl/>
          <w:lang w:bidi="fa-IR"/>
        </w:rPr>
        <w:t>حق نيز اين است که وجهی برای لزوم طلاق در مقام نيست، چون دليل مسأله معتبره علی بن ابی حمزه است و آنچه که در آن آمده است، اين است که بر زوجه جايز است که خود را از زوج رها سازد و جواز «نزع» به زوجه نسبت داده شده است که ظهور در اين مطلب دارد که فراق با اختيار نزع و رها شدن توسط زوجه حاصل می</w:t>
      </w:r>
      <w:r w:rsidRPr="006F3D95">
        <w:rPr>
          <w:rFonts w:cs="B Badr"/>
          <w:sz w:val="32"/>
          <w:szCs w:val="32"/>
          <w:cs/>
          <w:lang w:bidi="fa-IR"/>
        </w:rPr>
        <w:t>‎</w:t>
      </w:r>
      <w:r w:rsidRPr="006F3D95">
        <w:rPr>
          <w:rFonts w:cs="B Badr"/>
          <w:sz w:val="32"/>
          <w:szCs w:val="32"/>
          <w:rtl/>
          <w:lang w:bidi="fa-IR"/>
        </w:rPr>
        <w:t>شود و نيازمند چيز ديگری نيست.</w:t>
      </w:r>
    </w:p>
    <w:p w14:paraId="5FCC72E4" w14:textId="19BA7091" w:rsidR="006F3D95" w:rsidRPr="006F3D95" w:rsidRDefault="006F3D95" w:rsidP="006F3D95">
      <w:pPr>
        <w:bidi/>
        <w:spacing w:line="360" w:lineRule="auto"/>
        <w:jc w:val="both"/>
        <w:rPr>
          <w:rFonts w:cs="B Badr"/>
          <w:sz w:val="32"/>
          <w:szCs w:val="32"/>
          <w:lang w:bidi="fa-IR"/>
        </w:rPr>
      </w:pPr>
    </w:p>
    <w:p w14:paraId="00BE0971" w14:textId="599E388D" w:rsidR="006F3D95" w:rsidRPr="006F3D95" w:rsidRDefault="006F3D95" w:rsidP="006F3D95">
      <w:pPr>
        <w:bidi/>
        <w:spacing w:line="360" w:lineRule="auto"/>
        <w:jc w:val="both"/>
        <w:rPr>
          <w:rFonts w:cs="B Badr"/>
          <w:sz w:val="32"/>
          <w:szCs w:val="32"/>
          <w:lang w:bidi="fa-IR"/>
        </w:rPr>
      </w:pPr>
    </w:p>
    <w:p w14:paraId="34BF8172" w14:textId="157CD46C" w:rsidR="006F3D95" w:rsidRPr="006F3D95" w:rsidRDefault="006F3D95" w:rsidP="006F3D95">
      <w:pPr>
        <w:bidi/>
        <w:spacing w:line="360" w:lineRule="auto"/>
        <w:jc w:val="both"/>
        <w:rPr>
          <w:rFonts w:cs="B Badr"/>
          <w:sz w:val="32"/>
          <w:szCs w:val="32"/>
          <w:lang w:bidi="fa-IR"/>
        </w:rPr>
      </w:pPr>
    </w:p>
    <w:p w14:paraId="73D6B293" w14:textId="31D5C7C2" w:rsidR="006F3D95" w:rsidRPr="006F3D95" w:rsidRDefault="006F3D95" w:rsidP="006F3D95">
      <w:pPr>
        <w:bidi/>
        <w:spacing w:line="360" w:lineRule="auto"/>
        <w:jc w:val="both"/>
        <w:rPr>
          <w:rFonts w:cs="B Badr"/>
          <w:sz w:val="32"/>
          <w:szCs w:val="32"/>
        </w:rPr>
      </w:pPr>
    </w:p>
    <w:p w14:paraId="0B8BC769" w14:textId="4F23DB86" w:rsidR="006F3D95" w:rsidRPr="006F3D95" w:rsidRDefault="006F3D95" w:rsidP="006F3D95">
      <w:pPr>
        <w:bidi/>
        <w:spacing w:line="360" w:lineRule="auto"/>
        <w:jc w:val="both"/>
        <w:rPr>
          <w:rFonts w:cs="B Badr"/>
          <w:sz w:val="32"/>
          <w:szCs w:val="32"/>
        </w:rPr>
      </w:pPr>
    </w:p>
    <w:p w14:paraId="7FEA1907" w14:textId="77777777" w:rsidR="00AC70A6" w:rsidRPr="006F3D95" w:rsidRDefault="00AC70A6" w:rsidP="006F3D95">
      <w:pPr>
        <w:bidi/>
        <w:spacing w:line="360" w:lineRule="auto"/>
        <w:jc w:val="both"/>
        <w:rPr>
          <w:rFonts w:cs="B Badr"/>
          <w:sz w:val="32"/>
          <w:szCs w:val="32"/>
        </w:rPr>
      </w:pPr>
    </w:p>
    <w:sectPr w:rsidR="00AC70A6" w:rsidRPr="006F3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Abz-2 (Bad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F08"/>
    <w:rsid w:val="0029137A"/>
    <w:rsid w:val="002C2628"/>
    <w:rsid w:val="002D25FE"/>
    <w:rsid w:val="00333B9A"/>
    <w:rsid w:val="0035070B"/>
    <w:rsid w:val="00354904"/>
    <w:rsid w:val="003C29C6"/>
    <w:rsid w:val="00413864"/>
    <w:rsid w:val="00477251"/>
    <w:rsid w:val="00484404"/>
    <w:rsid w:val="00490895"/>
    <w:rsid w:val="004B6D1E"/>
    <w:rsid w:val="004C34FF"/>
    <w:rsid w:val="005327EB"/>
    <w:rsid w:val="00562743"/>
    <w:rsid w:val="005658AE"/>
    <w:rsid w:val="005C40B3"/>
    <w:rsid w:val="005E7D5D"/>
    <w:rsid w:val="0063539D"/>
    <w:rsid w:val="0064785D"/>
    <w:rsid w:val="00670F79"/>
    <w:rsid w:val="006D263F"/>
    <w:rsid w:val="006D6933"/>
    <w:rsid w:val="006F3D95"/>
    <w:rsid w:val="007222E9"/>
    <w:rsid w:val="00767CEC"/>
    <w:rsid w:val="00780CBE"/>
    <w:rsid w:val="007B782F"/>
    <w:rsid w:val="007E26B8"/>
    <w:rsid w:val="008706B3"/>
    <w:rsid w:val="008710D1"/>
    <w:rsid w:val="009308EB"/>
    <w:rsid w:val="00996B36"/>
    <w:rsid w:val="009A7ED2"/>
    <w:rsid w:val="009D664E"/>
    <w:rsid w:val="00A0047F"/>
    <w:rsid w:val="00A06F9B"/>
    <w:rsid w:val="00A46CE0"/>
    <w:rsid w:val="00A53FAD"/>
    <w:rsid w:val="00A56C6A"/>
    <w:rsid w:val="00A7012C"/>
    <w:rsid w:val="00A74A3A"/>
    <w:rsid w:val="00AC70A6"/>
    <w:rsid w:val="00AD14AC"/>
    <w:rsid w:val="00B00517"/>
    <w:rsid w:val="00B35D26"/>
    <w:rsid w:val="00B4149D"/>
    <w:rsid w:val="00BC3B06"/>
    <w:rsid w:val="00BF7D51"/>
    <w:rsid w:val="00C33EAF"/>
    <w:rsid w:val="00C45D16"/>
    <w:rsid w:val="00C61C52"/>
    <w:rsid w:val="00C67F54"/>
    <w:rsid w:val="00CA0BEA"/>
    <w:rsid w:val="00CF163D"/>
    <w:rsid w:val="00CF4173"/>
    <w:rsid w:val="00D00AB0"/>
    <w:rsid w:val="00D072D0"/>
    <w:rsid w:val="00DF1F84"/>
    <w:rsid w:val="00E52172"/>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18826197">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2404392">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6481383">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3016355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303318773">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4683594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7588886">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387455877">
      <w:bodyDiv w:val="1"/>
      <w:marLeft w:val="0"/>
      <w:marRight w:val="0"/>
      <w:marTop w:val="0"/>
      <w:marBottom w:val="0"/>
      <w:divBdr>
        <w:top w:val="none" w:sz="0" w:space="0" w:color="auto"/>
        <w:left w:val="none" w:sz="0" w:space="0" w:color="auto"/>
        <w:bottom w:val="none" w:sz="0" w:space="0" w:color="auto"/>
        <w:right w:val="none" w:sz="0" w:space="0" w:color="auto"/>
      </w:divBdr>
    </w:div>
    <w:div w:id="393743379">
      <w:bodyDiv w:val="1"/>
      <w:marLeft w:val="0"/>
      <w:marRight w:val="0"/>
      <w:marTop w:val="0"/>
      <w:marBottom w:val="0"/>
      <w:divBdr>
        <w:top w:val="none" w:sz="0" w:space="0" w:color="auto"/>
        <w:left w:val="none" w:sz="0" w:space="0" w:color="auto"/>
        <w:bottom w:val="none" w:sz="0" w:space="0" w:color="auto"/>
        <w:right w:val="none" w:sz="0" w:space="0" w:color="auto"/>
      </w:divBdr>
    </w:div>
    <w:div w:id="396906031">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25543484">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2464149">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46965926">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7167770">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1238861">
      <w:bodyDiv w:val="1"/>
      <w:marLeft w:val="0"/>
      <w:marRight w:val="0"/>
      <w:marTop w:val="0"/>
      <w:marBottom w:val="0"/>
      <w:divBdr>
        <w:top w:val="none" w:sz="0" w:space="0" w:color="auto"/>
        <w:left w:val="none" w:sz="0" w:space="0" w:color="auto"/>
        <w:bottom w:val="none" w:sz="0" w:space="0" w:color="auto"/>
        <w:right w:val="none" w:sz="0" w:space="0" w:color="auto"/>
      </w:divBdr>
    </w:div>
    <w:div w:id="503712349">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12841481">
      <w:bodyDiv w:val="1"/>
      <w:marLeft w:val="0"/>
      <w:marRight w:val="0"/>
      <w:marTop w:val="0"/>
      <w:marBottom w:val="0"/>
      <w:divBdr>
        <w:top w:val="none" w:sz="0" w:space="0" w:color="auto"/>
        <w:left w:val="none" w:sz="0" w:space="0" w:color="auto"/>
        <w:bottom w:val="none" w:sz="0" w:space="0" w:color="auto"/>
        <w:right w:val="none" w:sz="0" w:space="0" w:color="auto"/>
      </w:divBdr>
    </w:div>
    <w:div w:id="528565556">
      <w:bodyDiv w:val="1"/>
      <w:marLeft w:val="0"/>
      <w:marRight w:val="0"/>
      <w:marTop w:val="0"/>
      <w:marBottom w:val="0"/>
      <w:divBdr>
        <w:top w:val="none" w:sz="0" w:space="0" w:color="auto"/>
        <w:left w:val="none" w:sz="0" w:space="0" w:color="auto"/>
        <w:bottom w:val="none" w:sz="0" w:space="0" w:color="auto"/>
        <w:right w:val="none" w:sz="0" w:space="0" w:color="auto"/>
      </w:divBdr>
    </w:div>
    <w:div w:id="53373180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39905144">
      <w:bodyDiv w:val="1"/>
      <w:marLeft w:val="0"/>
      <w:marRight w:val="0"/>
      <w:marTop w:val="0"/>
      <w:marBottom w:val="0"/>
      <w:divBdr>
        <w:top w:val="none" w:sz="0" w:space="0" w:color="auto"/>
        <w:left w:val="none" w:sz="0" w:space="0" w:color="auto"/>
        <w:bottom w:val="none" w:sz="0" w:space="0" w:color="auto"/>
        <w:right w:val="none" w:sz="0" w:space="0" w:color="auto"/>
      </w:divBdr>
    </w:div>
    <w:div w:id="561330303">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16329560">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4509638">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70376524">
      <w:bodyDiv w:val="1"/>
      <w:marLeft w:val="0"/>
      <w:marRight w:val="0"/>
      <w:marTop w:val="0"/>
      <w:marBottom w:val="0"/>
      <w:divBdr>
        <w:top w:val="none" w:sz="0" w:space="0" w:color="auto"/>
        <w:left w:val="none" w:sz="0" w:space="0" w:color="auto"/>
        <w:bottom w:val="none" w:sz="0" w:space="0" w:color="auto"/>
        <w:right w:val="none" w:sz="0" w:space="0" w:color="auto"/>
      </w:divBdr>
    </w:div>
    <w:div w:id="680207816">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51436199">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78796133">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3811444">
      <w:bodyDiv w:val="1"/>
      <w:marLeft w:val="0"/>
      <w:marRight w:val="0"/>
      <w:marTop w:val="0"/>
      <w:marBottom w:val="0"/>
      <w:divBdr>
        <w:top w:val="none" w:sz="0" w:space="0" w:color="auto"/>
        <w:left w:val="none" w:sz="0" w:space="0" w:color="auto"/>
        <w:bottom w:val="none" w:sz="0" w:space="0" w:color="auto"/>
        <w:right w:val="none" w:sz="0" w:space="0" w:color="auto"/>
      </w:divBdr>
    </w:div>
    <w:div w:id="827945685">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863591626">
      <w:bodyDiv w:val="1"/>
      <w:marLeft w:val="0"/>
      <w:marRight w:val="0"/>
      <w:marTop w:val="0"/>
      <w:marBottom w:val="0"/>
      <w:divBdr>
        <w:top w:val="none" w:sz="0" w:space="0" w:color="auto"/>
        <w:left w:val="none" w:sz="0" w:space="0" w:color="auto"/>
        <w:bottom w:val="none" w:sz="0" w:space="0" w:color="auto"/>
        <w:right w:val="none" w:sz="0" w:space="0" w:color="auto"/>
      </w:divBdr>
    </w:div>
    <w:div w:id="870607234">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1346512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48896238">
      <w:bodyDiv w:val="1"/>
      <w:marLeft w:val="0"/>
      <w:marRight w:val="0"/>
      <w:marTop w:val="0"/>
      <w:marBottom w:val="0"/>
      <w:divBdr>
        <w:top w:val="none" w:sz="0" w:space="0" w:color="auto"/>
        <w:left w:val="none" w:sz="0" w:space="0" w:color="auto"/>
        <w:bottom w:val="none" w:sz="0" w:space="0" w:color="auto"/>
        <w:right w:val="none" w:sz="0" w:space="0" w:color="auto"/>
      </w:divBdr>
    </w:div>
    <w:div w:id="952322615">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997197593">
      <w:bodyDiv w:val="1"/>
      <w:marLeft w:val="0"/>
      <w:marRight w:val="0"/>
      <w:marTop w:val="0"/>
      <w:marBottom w:val="0"/>
      <w:divBdr>
        <w:top w:val="none" w:sz="0" w:space="0" w:color="auto"/>
        <w:left w:val="none" w:sz="0" w:space="0" w:color="auto"/>
        <w:bottom w:val="none" w:sz="0" w:space="0" w:color="auto"/>
        <w:right w:val="none" w:sz="0" w:space="0" w:color="auto"/>
      </w:divBdr>
    </w:div>
    <w:div w:id="1010642521">
      <w:bodyDiv w:val="1"/>
      <w:marLeft w:val="0"/>
      <w:marRight w:val="0"/>
      <w:marTop w:val="0"/>
      <w:marBottom w:val="0"/>
      <w:divBdr>
        <w:top w:val="none" w:sz="0" w:space="0" w:color="auto"/>
        <w:left w:val="none" w:sz="0" w:space="0" w:color="auto"/>
        <w:bottom w:val="none" w:sz="0" w:space="0" w:color="auto"/>
        <w:right w:val="none" w:sz="0" w:space="0" w:color="auto"/>
      </w:divBdr>
    </w:div>
    <w:div w:id="1017000783">
      <w:bodyDiv w:val="1"/>
      <w:marLeft w:val="0"/>
      <w:marRight w:val="0"/>
      <w:marTop w:val="0"/>
      <w:marBottom w:val="0"/>
      <w:divBdr>
        <w:top w:val="none" w:sz="0" w:space="0" w:color="auto"/>
        <w:left w:val="none" w:sz="0" w:space="0" w:color="auto"/>
        <w:bottom w:val="none" w:sz="0" w:space="0" w:color="auto"/>
        <w:right w:val="none" w:sz="0" w:space="0" w:color="auto"/>
      </w:divBdr>
    </w:div>
    <w:div w:id="1024327989">
      <w:bodyDiv w:val="1"/>
      <w:marLeft w:val="0"/>
      <w:marRight w:val="0"/>
      <w:marTop w:val="0"/>
      <w:marBottom w:val="0"/>
      <w:divBdr>
        <w:top w:val="none" w:sz="0" w:space="0" w:color="auto"/>
        <w:left w:val="none" w:sz="0" w:space="0" w:color="auto"/>
        <w:bottom w:val="none" w:sz="0" w:space="0" w:color="auto"/>
        <w:right w:val="none" w:sz="0" w:space="0" w:color="auto"/>
      </w:divBdr>
    </w:div>
    <w:div w:id="1024359988">
      <w:bodyDiv w:val="1"/>
      <w:marLeft w:val="0"/>
      <w:marRight w:val="0"/>
      <w:marTop w:val="0"/>
      <w:marBottom w:val="0"/>
      <w:divBdr>
        <w:top w:val="none" w:sz="0" w:space="0" w:color="auto"/>
        <w:left w:val="none" w:sz="0" w:space="0" w:color="auto"/>
        <w:bottom w:val="none" w:sz="0" w:space="0" w:color="auto"/>
        <w:right w:val="none" w:sz="0" w:space="0" w:color="auto"/>
      </w:divBdr>
    </w:div>
    <w:div w:id="1027288779">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55130764">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98257703">
      <w:bodyDiv w:val="1"/>
      <w:marLeft w:val="0"/>
      <w:marRight w:val="0"/>
      <w:marTop w:val="0"/>
      <w:marBottom w:val="0"/>
      <w:divBdr>
        <w:top w:val="none" w:sz="0" w:space="0" w:color="auto"/>
        <w:left w:val="none" w:sz="0" w:space="0" w:color="auto"/>
        <w:bottom w:val="none" w:sz="0" w:space="0" w:color="auto"/>
        <w:right w:val="none" w:sz="0" w:space="0" w:color="auto"/>
      </w:divBdr>
    </w:div>
    <w:div w:id="1115906247">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7775722">
      <w:bodyDiv w:val="1"/>
      <w:marLeft w:val="0"/>
      <w:marRight w:val="0"/>
      <w:marTop w:val="0"/>
      <w:marBottom w:val="0"/>
      <w:divBdr>
        <w:top w:val="none" w:sz="0" w:space="0" w:color="auto"/>
        <w:left w:val="none" w:sz="0" w:space="0" w:color="auto"/>
        <w:bottom w:val="none" w:sz="0" w:space="0" w:color="auto"/>
        <w:right w:val="none" w:sz="0" w:space="0" w:color="auto"/>
      </w:divBdr>
    </w:div>
    <w:div w:id="112913049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56991867">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2761423">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84652612">
      <w:bodyDiv w:val="1"/>
      <w:marLeft w:val="0"/>
      <w:marRight w:val="0"/>
      <w:marTop w:val="0"/>
      <w:marBottom w:val="0"/>
      <w:divBdr>
        <w:top w:val="none" w:sz="0" w:space="0" w:color="auto"/>
        <w:left w:val="none" w:sz="0" w:space="0" w:color="auto"/>
        <w:bottom w:val="none" w:sz="0" w:space="0" w:color="auto"/>
        <w:right w:val="none" w:sz="0" w:space="0" w:color="auto"/>
      </w:divBdr>
    </w:div>
    <w:div w:id="1291324143">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02928024">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56465704">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376963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382289065">
      <w:bodyDiv w:val="1"/>
      <w:marLeft w:val="0"/>
      <w:marRight w:val="0"/>
      <w:marTop w:val="0"/>
      <w:marBottom w:val="0"/>
      <w:divBdr>
        <w:top w:val="none" w:sz="0" w:space="0" w:color="auto"/>
        <w:left w:val="none" w:sz="0" w:space="0" w:color="auto"/>
        <w:bottom w:val="none" w:sz="0" w:space="0" w:color="auto"/>
        <w:right w:val="none" w:sz="0" w:space="0" w:color="auto"/>
      </w:divBdr>
    </w:div>
    <w:div w:id="1393121880">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17677041">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55172130">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0616816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38591407">
      <w:bodyDiv w:val="1"/>
      <w:marLeft w:val="0"/>
      <w:marRight w:val="0"/>
      <w:marTop w:val="0"/>
      <w:marBottom w:val="0"/>
      <w:divBdr>
        <w:top w:val="none" w:sz="0" w:space="0" w:color="auto"/>
        <w:left w:val="none" w:sz="0" w:space="0" w:color="auto"/>
        <w:bottom w:val="none" w:sz="0" w:space="0" w:color="auto"/>
        <w:right w:val="none" w:sz="0" w:space="0" w:color="auto"/>
      </w:divBdr>
    </w:div>
    <w:div w:id="1543789146">
      <w:bodyDiv w:val="1"/>
      <w:marLeft w:val="0"/>
      <w:marRight w:val="0"/>
      <w:marTop w:val="0"/>
      <w:marBottom w:val="0"/>
      <w:divBdr>
        <w:top w:val="none" w:sz="0" w:space="0" w:color="auto"/>
        <w:left w:val="none" w:sz="0" w:space="0" w:color="auto"/>
        <w:bottom w:val="none" w:sz="0" w:space="0" w:color="auto"/>
        <w:right w:val="none" w:sz="0" w:space="0" w:color="auto"/>
      </w:divBdr>
    </w:div>
    <w:div w:id="1561210354">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3416807">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49168202">
      <w:bodyDiv w:val="1"/>
      <w:marLeft w:val="0"/>
      <w:marRight w:val="0"/>
      <w:marTop w:val="0"/>
      <w:marBottom w:val="0"/>
      <w:divBdr>
        <w:top w:val="none" w:sz="0" w:space="0" w:color="auto"/>
        <w:left w:val="none" w:sz="0" w:space="0" w:color="auto"/>
        <w:bottom w:val="none" w:sz="0" w:space="0" w:color="auto"/>
        <w:right w:val="none" w:sz="0" w:space="0" w:color="auto"/>
      </w:divBdr>
    </w:div>
    <w:div w:id="1653481226">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0231185">
      <w:bodyDiv w:val="1"/>
      <w:marLeft w:val="0"/>
      <w:marRight w:val="0"/>
      <w:marTop w:val="0"/>
      <w:marBottom w:val="0"/>
      <w:divBdr>
        <w:top w:val="none" w:sz="0" w:space="0" w:color="auto"/>
        <w:left w:val="none" w:sz="0" w:space="0" w:color="auto"/>
        <w:bottom w:val="none" w:sz="0" w:space="0" w:color="auto"/>
        <w:right w:val="none" w:sz="0" w:space="0" w:color="auto"/>
      </w:divBdr>
    </w:div>
    <w:div w:id="1662351203">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690523721">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36198899">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02262417">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622467">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0610846">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73347137">
      <w:bodyDiv w:val="1"/>
      <w:marLeft w:val="0"/>
      <w:marRight w:val="0"/>
      <w:marTop w:val="0"/>
      <w:marBottom w:val="0"/>
      <w:divBdr>
        <w:top w:val="none" w:sz="0" w:space="0" w:color="auto"/>
        <w:left w:val="none" w:sz="0" w:space="0" w:color="auto"/>
        <w:bottom w:val="none" w:sz="0" w:space="0" w:color="auto"/>
        <w:right w:val="none" w:sz="0" w:space="0" w:color="auto"/>
      </w:divBdr>
    </w:div>
    <w:div w:id="187446081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93494114">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4873578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5478870">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78990629">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00844473">
      <w:bodyDiv w:val="1"/>
      <w:marLeft w:val="0"/>
      <w:marRight w:val="0"/>
      <w:marTop w:val="0"/>
      <w:marBottom w:val="0"/>
      <w:divBdr>
        <w:top w:val="none" w:sz="0" w:space="0" w:color="auto"/>
        <w:left w:val="none" w:sz="0" w:space="0" w:color="auto"/>
        <w:bottom w:val="none" w:sz="0" w:space="0" w:color="auto"/>
        <w:right w:val="none" w:sz="0" w:space="0" w:color="auto"/>
      </w:divBdr>
    </w:div>
    <w:div w:id="2004119442">
      <w:bodyDiv w:val="1"/>
      <w:marLeft w:val="0"/>
      <w:marRight w:val="0"/>
      <w:marTop w:val="0"/>
      <w:marBottom w:val="0"/>
      <w:divBdr>
        <w:top w:val="none" w:sz="0" w:space="0" w:color="auto"/>
        <w:left w:val="none" w:sz="0" w:space="0" w:color="auto"/>
        <w:bottom w:val="none" w:sz="0" w:space="0" w:color="auto"/>
        <w:right w:val="none" w:sz="0" w:space="0" w:color="auto"/>
      </w:divBdr>
    </w:div>
    <w:div w:id="202436206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4474584">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2</cp:revision>
  <dcterms:created xsi:type="dcterms:W3CDTF">2022-02-23T08:07:00Z</dcterms:created>
  <dcterms:modified xsi:type="dcterms:W3CDTF">2022-02-23T08:07:00Z</dcterms:modified>
</cp:coreProperties>
</file>