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75A2DCED" w:rsidR="00CA0BEA" w:rsidRDefault="0035070B" w:rsidP="00084225">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354904">
        <w:rPr>
          <w:rFonts w:cs="B Jadid" w:hint="cs"/>
          <w:sz w:val="28"/>
          <w:szCs w:val="28"/>
          <w:rtl/>
          <w:lang w:bidi="fa-IR"/>
        </w:rPr>
        <w:t xml:space="preserve">چهل و </w:t>
      </w:r>
      <w:r w:rsidR="00084225">
        <w:rPr>
          <w:rFonts w:cs="B Jadid" w:hint="cs"/>
          <w:sz w:val="28"/>
          <w:szCs w:val="28"/>
          <w:rtl/>
          <w:lang w:bidi="fa-IR"/>
        </w:rPr>
        <w:t xml:space="preserve">چهارم </w:t>
      </w:r>
      <w:r w:rsidR="00354904">
        <w:rPr>
          <w:rFonts w:cs="B Jadid" w:hint="cs"/>
          <w:sz w:val="28"/>
          <w:szCs w:val="28"/>
          <w:rtl/>
          <w:lang w:bidi="fa-IR"/>
        </w:rPr>
        <w:t xml:space="preserve"> </w:t>
      </w:r>
      <w:r w:rsidR="00084225">
        <w:rPr>
          <w:rFonts w:cs="B Jadid" w:hint="cs"/>
          <w:sz w:val="28"/>
          <w:szCs w:val="28"/>
          <w:rtl/>
          <w:lang w:bidi="fa-IR"/>
        </w:rPr>
        <w:t xml:space="preserve">سه </w:t>
      </w:r>
      <w:r w:rsidR="004B6D1E">
        <w:rPr>
          <w:rFonts w:cs="B Jadid" w:hint="cs"/>
          <w:sz w:val="28"/>
          <w:szCs w:val="28"/>
          <w:rtl/>
          <w:lang w:bidi="fa-IR"/>
        </w:rPr>
        <w:t>شنبه</w:t>
      </w:r>
      <w:r w:rsidR="00354904">
        <w:rPr>
          <w:rFonts w:cs="B Jadid" w:hint="cs"/>
          <w:sz w:val="28"/>
          <w:szCs w:val="28"/>
          <w:rtl/>
          <w:lang w:bidi="fa-IR"/>
        </w:rPr>
        <w:t xml:space="preserve"> </w:t>
      </w:r>
      <w:r w:rsidR="00084225">
        <w:rPr>
          <w:rFonts w:cs="B Jadid" w:hint="cs"/>
          <w:sz w:val="28"/>
          <w:szCs w:val="28"/>
          <w:rtl/>
          <w:lang w:bidi="fa-IR"/>
        </w:rPr>
        <w:t>5</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p>
    <w:p w14:paraId="3652CB29" w14:textId="77777777" w:rsidR="00111B7A" w:rsidRPr="00CA0BEA" w:rsidRDefault="00111B7A" w:rsidP="00084225">
      <w:pPr>
        <w:bidi/>
        <w:spacing w:line="360" w:lineRule="auto"/>
        <w:jc w:val="both"/>
        <w:rPr>
          <w:rFonts w:cs="B Badr"/>
          <w:sz w:val="32"/>
          <w:szCs w:val="32"/>
          <w:lang w:bidi="fa-IR"/>
        </w:rPr>
      </w:pPr>
    </w:p>
    <w:p w14:paraId="0E8CBA4C" w14:textId="77777777" w:rsidR="00084225" w:rsidRPr="00084225" w:rsidRDefault="00084225" w:rsidP="00084225">
      <w:pPr>
        <w:bidi/>
        <w:spacing w:line="360" w:lineRule="auto"/>
        <w:jc w:val="both"/>
        <w:rPr>
          <w:rFonts w:cs="B Badr"/>
          <w:b/>
          <w:bCs/>
          <w:sz w:val="32"/>
          <w:szCs w:val="32"/>
        </w:rPr>
      </w:pPr>
      <w:r w:rsidRPr="00084225">
        <w:rPr>
          <w:rFonts w:cs="B Badr"/>
          <w:b/>
          <w:bCs/>
          <w:sz w:val="32"/>
          <w:szCs w:val="32"/>
          <w:rtl/>
          <w:lang w:bidi="fa-IR"/>
        </w:rPr>
        <w:t>قول پنجم: مثل عده امه</w:t>
      </w:r>
    </w:p>
    <w:p w14:paraId="47D3A21E"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قال المفيد في موضع آخر من المقنعة: «العدد فيه على النصف من عدد نكاح الميراث.»</w:t>
      </w:r>
    </w:p>
    <w:p w14:paraId="1CFF45B2"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قال ابن حمزة في الوسيلة: «المتمتّع بها عدّتها مثل عدّة الإماء.» ومثله کلام ابن سعيد الحلّي في الجامع للشرائع.</w:t>
      </w:r>
    </w:p>
    <w:p w14:paraId="08218D9E" w14:textId="77777777" w:rsidR="00084225" w:rsidRPr="00084225" w:rsidRDefault="00084225" w:rsidP="00084225">
      <w:pPr>
        <w:bidi/>
        <w:spacing w:line="360" w:lineRule="auto"/>
        <w:jc w:val="both"/>
        <w:rPr>
          <w:rFonts w:cs="B Badr"/>
          <w:b/>
          <w:bCs/>
          <w:sz w:val="32"/>
          <w:szCs w:val="32"/>
        </w:rPr>
      </w:pPr>
      <w:r w:rsidRPr="00084225">
        <w:rPr>
          <w:rFonts w:cs="B Badr"/>
          <w:b/>
          <w:bCs/>
          <w:sz w:val="32"/>
          <w:szCs w:val="32"/>
          <w:rtl/>
          <w:lang w:bidi="fa-IR"/>
        </w:rPr>
        <w:t>قول ششم: يک حيض</w:t>
      </w:r>
    </w:p>
    <w:p w14:paraId="0A42929C"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قال العلامة في المختلف: «قال ابن أبي عقيل: إن كانت ممّن تحيض فحيضة مستقيمة، وإن كانت ممّن لا تحيض فخمسة وأربعون يوماً.»</w:t>
      </w:r>
    </w:p>
    <w:p w14:paraId="58CC1AE5" w14:textId="04026CC8" w:rsidR="00084225" w:rsidRDefault="00084225" w:rsidP="00084225">
      <w:pPr>
        <w:bidi/>
        <w:spacing w:line="360" w:lineRule="auto"/>
        <w:jc w:val="both"/>
        <w:rPr>
          <w:rFonts w:cs="B Badr"/>
          <w:sz w:val="32"/>
          <w:szCs w:val="32"/>
          <w:rtl/>
          <w:lang w:bidi="fa-IR"/>
        </w:rPr>
      </w:pPr>
      <w:r w:rsidRPr="00084225">
        <w:rPr>
          <w:rFonts w:cs="B Badr"/>
          <w:sz w:val="32"/>
          <w:szCs w:val="32"/>
          <w:rtl/>
          <w:lang w:bidi="fa-IR"/>
        </w:rPr>
        <w:t>وقال السيّد العاملي في نهاية المرام: «المسألة محلّ إشكال لتعارض النصوص فيها ظاهراً، والأولى في الجمع بينها حمل تضمّن الزائد على الحيضة على الاستحباب،ولا ريب أنّ اعتبار الحيضتين طريق الاحتياط.» ومثله کلام السبزواري في کفاية الأحکام.</w:t>
      </w:r>
    </w:p>
    <w:p w14:paraId="6C13F1B8" w14:textId="542D2178" w:rsidR="00084225" w:rsidRDefault="00084225" w:rsidP="00084225">
      <w:pPr>
        <w:bidi/>
        <w:spacing w:line="360" w:lineRule="auto"/>
        <w:jc w:val="both"/>
        <w:rPr>
          <w:rFonts w:cs="B Badr"/>
          <w:sz w:val="32"/>
          <w:szCs w:val="32"/>
          <w:rtl/>
          <w:lang w:bidi="fa-IR"/>
        </w:rPr>
      </w:pPr>
    </w:p>
    <w:p w14:paraId="6269DBB9" w14:textId="77777777" w:rsidR="00084225" w:rsidRPr="00084225" w:rsidRDefault="00084225" w:rsidP="00084225">
      <w:pPr>
        <w:bidi/>
        <w:spacing w:line="360" w:lineRule="auto"/>
        <w:jc w:val="both"/>
        <w:rPr>
          <w:rFonts w:cs="B Badr"/>
          <w:sz w:val="32"/>
          <w:szCs w:val="32"/>
          <w:lang w:bidi="fa-IR"/>
        </w:rPr>
      </w:pPr>
    </w:p>
    <w:p w14:paraId="2930A413"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lastRenderedPageBreak/>
        <w:t>اخباری که در اين خصوص وجود دارد را نيز می</w:t>
      </w:r>
      <w:r w:rsidRPr="00084225">
        <w:rPr>
          <w:rFonts w:cs="B Badr"/>
          <w:sz w:val="32"/>
          <w:szCs w:val="32"/>
          <w:cs/>
          <w:lang w:bidi="fa-IR"/>
        </w:rPr>
        <w:t>‎</w:t>
      </w:r>
      <w:r w:rsidRPr="00084225">
        <w:rPr>
          <w:rFonts w:cs="B Badr"/>
          <w:sz w:val="32"/>
          <w:szCs w:val="32"/>
          <w:rtl/>
          <w:lang w:bidi="fa-IR"/>
        </w:rPr>
        <w:t>توان به چند دسته تقسيم کرد:</w:t>
      </w:r>
    </w:p>
    <w:p w14:paraId="4A13416C" w14:textId="77777777" w:rsidR="00084225" w:rsidRPr="00084225" w:rsidRDefault="00084225" w:rsidP="00084225">
      <w:pPr>
        <w:bidi/>
        <w:spacing w:line="360" w:lineRule="auto"/>
        <w:jc w:val="both"/>
        <w:rPr>
          <w:rFonts w:cs="B Badr"/>
          <w:b/>
          <w:bCs/>
          <w:sz w:val="32"/>
          <w:szCs w:val="32"/>
          <w:lang w:bidi="fa-IR"/>
        </w:rPr>
      </w:pPr>
      <w:r w:rsidRPr="00084225">
        <w:rPr>
          <w:rFonts w:cs="B Badr"/>
          <w:b/>
          <w:bCs/>
          <w:sz w:val="32"/>
          <w:szCs w:val="32"/>
          <w:rtl/>
          <w:lang w:bidi="fa-IR"/>
        </w:rPr>
        <w:t>دسته اول: آنچه که دلالت بر اعتداد به يک حيض دارد</w:t>
      </w:r>
    </w:p>
    <w:p w14:paraId="5FC1A1E0"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1 ـ حسنة زرارة عن أبي عبد الله(ع) أنّه قال: «إن كانت تحيض فحيضة وإن كانت لا تحيض فشهر ونصف.»</w:t>
      </w:r>
    </w:p>
    <w:p w14:paraId="226BFFD2"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2 ـ صحيحة البزنطي عن الرضا(ع)، قال: «سمعته يقول: قال أبو جعفر(ع): عدّة المتعة حيضة، وقال: خمسة وأربعون يوماً لبعض أصحابه.»</w:t>
      </w:r>
    </w:p>
    <w:p w14:paraId="6164B684"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3 ـ خبر عبد الله بن عمرو، قال: «سألت أبا عبدالله(ع) عن المتعة... فقلت: فكمعدّتها؟ فقال: خمسة وأربعون يوماً أو حيضة مستقيمة.»</w:t>
      </w:r>
    </w:p>
    <w:p w14:paraId="6FBAC602" w14:textId="121F2DF6" w:rsidR="00084225" w:rsidRDefault="00084225" w:rsidP="00084225">
      <w:pPr>
        <w:bidi/>
        <w:spacing w:line="360" w:lineRule="auto"/>
        <w:jc w:val="both"/>
        <w:rPr>
          <w:rFonts w:cs="B Badr"/>
          <w:sz w:val="32"/>
          <w:szCs w:val="32"/>
          <w:rtl/>
          <w:lang w:bidi="fa-IR"/>
        </w:rPr>
      </w:pPr>
      <w:r w:rsidRPr="00084225">
        <w:rPr>
          <w:rFonts w:cs="B Badr"/>
          <w:sz w:val="32"/>
          <w:szCs w:val="32"/>
          <w:rtl/>
          <w:lang w:bidi="fa-IR"/>
        </w:rPr>
        <w:t>4 ـ مقطوعة أبي بصير، قال: «لابدّ من أن يقول فيه هذه الشروط: ...وعلى أن تعتدّي خمسة وأربعين يوماً، وقال بعضهم: حيضة.»</w:t>
      </w:r>
    </w:p>
    <w:p w14:paraId="51330378" w14:textId="2D18E8EA" w:rsidR="00084225" w:rsidRDefault="00084225" w:rsidP="00084225">
      <w:pPr>
        <w:bidi/>
        <w:spacing w:line="360" w:lineRule="auto"/>
        <w:jc w:val="both"/>
        <w:rPr>
          <w:rFonts w:cs="B Badr"/>
          <w:sz w:val="32"/>
          <w:szCs w:val="32"/>
          <w:rtl/>
          <w:lang w:bidi="fa-IR"/>
        </w:rPr>
      </w:pPr>
    </w:p>
    <w:p w14:paraId="2FAC1613" w14:textId="77D7B229" w:rsidR="00084225" w:rsidRDefault="00084225" w:rsidP="00084225">
      <w:pPr>
        <w:bidi/>
        <w:spacing w:line="360" w:lineRule="auto"/>
        <w:jc w:val="both"/>
        <w:rPr>
          <w:rFonts w:cs="B Badr"/>
          <w:sz w:val="32"/>
          <w:szCs w:val="32"/>
          <w:rtl/>
          <w:lang w:bidi="fa-IR"/>
        </w:rPr>
      </w:pPr>
    </w:p>
    <w:p w14:paraId="28DAD83D" w14:textId="77777777" w:rsidR="00084225" w:rsidRPr="00084225" w:rsidRDefault="00084225" w:rsidP="00084225">
      <w:pPr>
        <w:bidi/>
        <w:spacing w:line="360" w:lineRule="auto"/>
        <w:jc w:val="both"/>
        <w:rPr>
          <w:rFonts w:cs="B Badr"/>
          <w:sz w:val="32"/>
          <w:szCs w:val="32"/>
          <w:lang w:bidi="fa-IR"/>
        </w:rPr>
      </w:pPr>
    </w:p>
    <w:p w14:paraId="6B4B35AE" w14:textId="77777777" w:rsidR="00084225" w:rsidRPr="00084225" w:rsidRDefault="00084225" w:rsidP="00084225">
      <w:pPr>
        <w:bidi/>
        <w:spacing w:line="360" w:lineRule="auto"/>
        <w:jc w:val="both"/>
        <w:rPr>
          <w:rFonts w:cs="B Badr"/>
          <w:b/>
          <w:bCs/>
          <w:sz w:val="32"/>
          <w:szCs w:val="32"/>
          <w:lang w:bidi="fa-IR"/>
        </w:rPr>
      </w:pPr>
      <w:r w:rsidRPr="00084225">
        <w:rPr>
          <w:rFonts w:cs="B Badr"/>
          <w:b/>
          <w:bCs/>
          <w:sz w:val="32"/>
          <w:szCs w:val="32"/>
          <w:rtl/>
          <w:lang w:bidi="fa-IR"/>
        </w:rPr>
        <w:lastRenderedPageBreak/>
        <w:t>دسته دوم: آنچه که دلالت بر اعتداد به عده امه دارد</w:t>
      </w:r>
    </w:p>
    <w:p w14:paraId="3F575743"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1 ـ صحيحة عبدالرحمن بن الحجّاج، قال: «سألت أبا عبدالله(ع) عن المرأة يتزوّجها الرجل متعة ثمّ يتوفّى عنها، هل عليها العدّة؟ قال: تعتدّ أربعة أشهر وعشراً، فإذا انقضت أيّامها وهو حيّ فحيضة ونصف مثل ما يجب على الأمة...»</w:t>
      </w:r>
    </w:p>
    <w:p w14:paraId="14BB7358"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2 ـ صحيحة زرارة، قال: «سألت أبا جعفر(ع): ما عدّة المتعة إذا مات عنها الذي تمتّع بها؟ قال: أربعة أشهر وعشراً. قال: ثمّ قال: ...عدّة المطلّقة ثلاثة أشهر والأمة المطلّقة عليها نصف ما على الحرّة وكذلك المتعة عليها مثل ما على الأمة</w:t>
      </w:r>
      <w:r w:rsidRPr="00084225">
        <w:rPr>
          <w:rFonts w:cs="B Badr"/>
          <w:sz w:val="32"/>
          <w:szCs w:val="32"/>
          <w:lang w:bidi="fa-IR"/>
        </w:rPr>
        <w:t>‌</w:t>
      </w:r>
      <w:r w:rsidRPr="00084225">
        <w:rPr>
          <w:rFonts w:cs="B Badr"/>
          <w:sz w:val="32"/>
          <w:szCs w:val="32"/>
          <w:rtl/>
          <w:lang w:bidi="fa-IR"/>
        </w:rPr>
        <w:t>.»</w:t>
      </w:r>
    </w:p>
    <w:p w14:paraId="7A36B6D2"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دسته سوم: آنچه که دلالت بر اعتداد به دو حيض دارد</w:t>
      </w:r>
    </w:p>
    <w:p w14:paraId="2010809E"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1 ـ حسنة إسماعيل بن الفضل الهاشميّ، قال: «سألت أبا عبدالله(ع) عن المتعة؟ فقال: اِلقَ عبدالملك بن جريج فسله عنها، فإنّ عنده منها علماً. فلقيته فأملى عليّ منها شيئاً كثيراً في استحلالها، فكان فيما روى لي ابن جريج قال: ...و عدّتها حيضتان وإن كانت لا تحيض فخمسة وأربعون يوماً. فأتيت بالكتاب</w:t>
      </w:r>
      <w:r w:rsidRPr="00084225">
        <w:rPr>
          <w:rFonts w:cs="B Badr"/>
          <w:sz w:val="32"/>
          <w:szCs w:val="32"/>
          <w:rtl/>
          <w:lang w:bidi="fa-IR"/>
        </w:rPr>
        <w:br/>
        <w:t>أبا عبدالله(ع) فعرضت عليه فقال: صدق وأقرّ به. قال ابن أُذينة: وكان زرارة بن أعين يقول هذا ويحلف أنّه الحقّ إلا أنّه كان يقول: إن كانت تحيض فحيضة وإن كانت لا تحيض فشهر ونصف.»</w:t>
      </w:r>
    </w:p>
    <w:p w14:paraId="3422E2D3"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lastRenderedPageBreak/>
        <w:t>2 ـ ما رواه العيّاشي في تفسيره عن أبي بصير عن أبي جعفر(ع): «في المتعة، قال: ...ولا تحلّ لغيرك حتّى تنقضي عدّتها وعدّتها حيضتان.»</w:t>
      </w:r>
    </w:p>
    <w:p w14:paraId="46BAD89E" w14:textId="77777777" w:rsidR="00084225" w:rsidRPr="00084225" w:rsidRDefault="00084225" w:rsidP="00084225">
      <w:pPr>
        <w:bidi/>
        <w:spacing w:line="360" w:lineRule="auto"/>
        <w:jc w:val="both"/>
        <w:rPr>
          <w:rFonts w:cs="B Badr"/>
          <w:b/>
          <w:bCs/>
          <w:sz w:val="32"/>
          <w:szCs w:val="32"/>
          <w:lang w:bidi="fa-IR"/>
        </w:rPr>
      </w:pPr>
      <w:r w:rsidRPr="00084225">
        <w:rPr>
          <w:rFonts w:cs="B Badr"/>
          <w:b/>
          <w:bCs/>
          <w:sz w:val="32"/>
          <w:szCs w:val="32"/>
          <w:rtl/>
          <w:lang w:bidi="fa-IR"/>
        </w:rPr>
        <w:t>دسته چهارم: آنچه دلالت بر اعتداد به 45 روز يا شب دارد</w:t>
      </w:r>
    </w:p>
    <w:p w14:paraId="09150CF4"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1 ـ صحيحة محمّد بن مسلم، قال: «سألت أبا عبدالله(ع): كم المهر ـ يعني في المتعة ـ فقال: ...وليس عليها العدّة منه وعليها من غيره خمس وأربعون ليلة.»</w:t>
      </w:r>
    </w:p>
    <w:p w14:paraId="079EA12B"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2 ـ موثّقة زرارة، قال: «عدّة المتعة خمسة وأربعون يوماً ـ كأنّي أنظر إلى</w:t>
      </w:r>
      <w:r w:rsidRPr="00084225">
        <w:rPr>
          <w:rFonts w:cs="B Badr"/>
          <w:sz w:val="32"/>
          <w:szCs w:val="32"/>
          <w:rtl/>
          <w:lang w:bidi="fa-IR"/>
        </w:rPr>
        <w:br/>
        <w:t>أبي جعفر(ع) يعقد بيده خمسة وأربعين ـ فإذا جاز الأجل كانت فرقة بغير طلاق.»</w:t>
      </w:r>
    </w:p>
    <w:p w14:paraId="6B99AEC2"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3 ـ معتبرة البزنطي عن أبي الحسن الرضا(ع)، قال: «قال أبو جعفر(ع): عدّة المتعة خمسة وأربعون يوماً والاحتياط خمس وأربعون ليلة.»</w:t>
      </w:r>
    </w:p>
    <w:p w14:paraId="01D234E7"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4 ـ معتبرة المفضّل بن عمر عن أبي عبدالله(ع) في كتابه إليه: «...ليس بينهما عدّة إلا لرجل سواه، فإن أرادت سواه اعتدّت خمسة وأربعين يوماً...»</w:t>
      </w:r>
    </w:p>
    <w:p w14:paraId="4265F8A8"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5 ـ خبر هشام بن سالم الجواليقيّ، قال: «قلت لأبي عبدالله(ع): أتزوّج المرأة متعة مرّة مبهمة؟ قال: فقال: ذلك أشدّ عليك... قلت: ما أقول لها؟ قال: تقول لها: أتزوّجك</w:t>
      </w:r>
      <w:r w:rsidRPr="00084225">
        <w:rPr>
          <w:rFonts w:cs="B Badr"/>
          <w:sz w:val="32"/>
          <w:szCs w:val="32"/>
          <w:lang w:bidi="fa-IR"/>
        </w:rPr>
        <w:t xml:space="preserve">‌ </w:t>
      </w:r>
      <w:r w:rsidRPr="00084225">
        <w:rPr>
          <w:rFonts w:cs="B Badr"/>
          <w:sz w:val="32"/>
          <w:szCs w:val="32"/>
          <w:rtl/>
          <w:lang w:bidi="fa-IR"/>
        </w:rPr>
        <w:t>على كتاب الله وسنّة نبيّه... ولا عدّة لكِ عليّ، فإذا مضى شرطك فلا تتزوّجي حتّى يمضي لك خمس وأربعون ليلة...»</w:t>
      </w:r>
    </w:p>
    <w:p w14:paraId="5D01114F" w14:textId="77777777" w:rsidR="00084225" w:rsidRPr="00084225" w:rsidRDefault="00084225" w:rsidP="00084225">
      <w:pPr>
        <w:bidi/>
        <w:spacing w:line="360" w:lineRule="auto"/>
        <w:jc w:val="both"/>
        <w:rPr>
          <w:rFonts w:cs="B Badr"/>
          <w:b/>
          <w:bCs/>
          <w:sz w:val="36"/>
          <w:szCs w:val="36"/>
          <w:lang w:bidi="fa-IR"/>
        </w:rPr>
      </w:pPr>
      <w:r w:rsidRPr="00084225">
        <w:rPr>
          <w:rFonts w:cs="B Badr"/>
          <w:b/>
          <w:bCs/>
          <w:sz w:val="36"/>
          <w:szCs w:val="36"/>
          <w:rtl/>
          <w:lang w:bidi="fa-IR"/>
        </w:rPr>
        <w:lastRenderedPageBreak/>
        <w:t>جمع بين اخبار:</w:t>
      </w:r>
    </w:p>
    <w:p w14:paraId="0D01DA18"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برای اين که بتوان بين اين اخبار جمع کرد، ابتدا بايد به يک نکته توجه داشت و آن اين که يکی از موارد اختلاف بين عامه و خاصه اين است که بسياری از عامه قروء را در آيه شريفه: «</w:t>
      </w:r>
      <w:r w:rsidRPr="00084225">
        <w:rPr>
          <w:rFonts w:cs="B Badr" w:hint="cs"/>
          <w:sz w:val="32"/>
          <w:szCs w:val="32"/>
          <w:rtl/>
          <w:lang w:bidi="ar-IQ"/>
        </w:rPr>
        <w:t>وَالْمُطَلَّقَاتُ يَتَرَبَّصْنَ بِأَنْفُسِهِنَّ ثَلَاثَةَ قُرُوءٍ</w:t>
      </w:r>
      <w:r w:rsidRPr="00084225">
        <w:rPr>
          <w:rFonts w:cs="B Badr"/>
          <w:sz w:val="32"/>
          <w:szCs w:val="32"/>
          <w:rtl/>
          <w:lang w:bidi="fa-IR"/>
        </w:rPr>
        <w:t>» به معنای حيض می</w:t>
      </w:r>
      <w:r w:rsidRPr="00084225">
        <w:rPr>
          <w:rFonts w:cs="B Badr"/>
          <w:sz w:val="32"/>
          <w:szCs w:val="32"/>
          <w:cs/>
          <w:lang w:bidi="fa-IR"/>
        </w:rPr>
        <w:t>‎</w:t>
      </w:r>
      <w:r w:rsidRPr="00084225">
        <w:rPr>
          <w:rFonts w:cs="B Badr"/>
          <w:sz w:val="32"/>
          <w:szCs w:val="32"/>
          <w:rtl/>
          <w:lang w:bidi="fa-IR"/>
        </w:rPr>
        <w:t>دانند و خاصه آن را به معنای طهر.</w:t>
      </w:r>
    </w:p>
    <w:p w14:paraId="5C7B1BD3"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 xml:space="preserve">قال في الموسوعة الکويتيّة: </w:t>
      </w:r>
      <w:r w:rsidRPr="00084225">
        <w:rPr>
          <w:rFonts w:cs="B Badr"/>
          <w:sz w:val="32"/>
          <w:szCs w:val="32"/>
          <w:rtl/>
        </w:rPr>
        <w:t>«القرء</w:t>
      </w:r>
      <w:r w:rsidRPr="00084225">
        <w:rPr>
          <w:rFonts w:ascii="Calibri" w:hAnsi="Calibri" w:cs="Calibri" w:hint="cs"/>
          <w:sz w:val="32"/>
          <w:szCs w:val="32"/>
          <w:rtl/>
        </w:rPr>
        <w:t> </w:t>
      </w:r>
      <w:r w:rsidRPr="00084225">
        <w:rPr>
          <w:rFonts w:cs="B Badr" w:hint="cs"/>
          <w:sz w:val="32"/>
          <w:szCs w:val="32"/>
          <w:rtl/>
        </w:rPr>
        <w:t>لغة</w:t>
      </w:r>
      <w:r w:rsidRPr="00084225">
        <w:rPr>
          <w:rFonts w:cs="B Badr"/>
          <w:sz w:val="32"/>
          <w:szCs w:val="32"/>
          <w:rtl/>
        </w:rPr>
        <w:t xml:space="preserve">: </w:t>
      </w:r>
      <w:r w:rsidRPr="00084225">
        <w:rPr>
          <w:rFonts w:cs="B Badr" w:hint="cs"/>
          <w:sz w:val="32"/>
          <w:szCs w:val="32"/>
          <w:rtl/>
        </w:rPr>
        <w:t>بالفتح</w:t>
      </w:r>
      <w:r w:rsidRPr="00084225">
        <w:rPr>
          <w:rFonts w:cs="B Badr"/>
          <w:sz w:val="32"/>
          <w:szCs w:val="32"/>
          <w:rtl/>
        </w:rPr>
        <w:t xml:space="preserve"> </w:t>
      </w:r>
      <w:r w:rsidRPr="00084225">
        <w:rPr>
          <w:rFonts w:cs="B Badr" w:hint="cs"/>
          <w:sz w:val="32"/>
          <w:szCs w:val="32"/>
          <w:rtl/>
        </w:rPr>
        <w:t>والضم</w:t>
      </w:r>
      <w:r w:rsidRPr="00084225">
        <w:rPr>
          <w:rFonts w:cs="B Badr"/>
          <w:sz w:val="32"/>
          <w:szCs w:val="32"/>
          <w:rtl/>
        </w:rPr>
        <w:t>ّ، الحيض، ويطلق أيضاً علىالطهر، وهو من الأضداد، وجمعه</w:t>
      </w:r>
      <w:r w:rsidRPr="00084225">
        <w:rPr>
          <w:rFonts w:ascii="Calibri" w:hAnsi="Calibri" w:cs="Calibri" w:hint="cs"/>
          <w:sz w:val="32"/>
          <w:szCs w:val="32"/>
          <w:rtl/>
        </w:rPr>
        <w:t> </w:t>
      </w:r>
      <w:r w:rsidRPr="00084225">
        <w:rPr>
          <w:rFonts w:cs="B Badr" w:hint="cs"/>
          <w:sz w:val="32"/>
          <w:szCs w:val="32"/>
          <w:rtl/>
        </w:rPr>
        <w:t>قروء</w:t>
      </w:r>
      <w:r w:rsidRPr="00084225">
        <w:rPr>
          <w:rFonts w:ascii="Calibri" w:hAnsi="Calibri" w:cs="Calibri" w:hint="cs"/>
          <w:sz w:val="32"/>
          <w:szCs w:val="32"/>
          <w:rtl/>
        </w:rPr>
        <w:t> </w:t>
      </w:r>
      <w:r w:rsidRPr="00084225">
        <w:rPr>
          <w:rFonts w:cs="B Badr" w:hint="cs"/>
          <w:sz w:val="32"/>
          <w:szCs w:val="32"/>
          <w:rtl/>
        </w:rPr>
        <w:t>وأقرُؤ،</w:t>
      </w:r>
      <w:r w:rsidRPr="00084225">
        <w:rPr>
          <w:rFonts w:cs="B Badr"/>
          <w:sz w:val="32"/>
          <w:szCs w:val="32"/>
          <w:rtl/>
        </w:rPr>
        <w:t xml:space="preserve"> </w:t>
      </w:r>
      <w:r w:rsidRPr="00084225">
        <w:rPr>
          <w:rFonts w:cs="B Badr" w:hint="cs"/>
          <w:sz w:val="32"/>
          <w:szCs w:val="32"/>
          <w:rtl/>
        </w:rPr>
        <w:t>مثل</w:t>
      </w:r>
      <w:r w:rsidRPr="00084225">
        <w:rPr>
          <w:rFonts w:cs="B Badr"/>
          <w:sz w:val="32"/>
          <w:szCs w:val="32"/>
          <w:rtl/>
        </w:rPr>
        <w:t xml:space="preserve"> </w:t>
      </w:r>
      <w:r w:rsidRPr="00084225">
        <w:rPr>
          <w:rFonts w:cs="B Badr" w:hint="cs"/>
          <w:sz w:val="32"/>
          <w:szCs w:val="32"/>
          <w:rtl/>
        </w:rPr>
        <w:t>فَلس</w:t>
      </w:r>
      <w:r w:rsidRPr="00084225">
        <w:rPr>
          <w:rFonts w:cs="B Badr"/>
          <w:sz w:val="32"/>
          <w:szCs w:val="32"/>
          <w:rtl/>
        </w:rPr>
        <w:t xml:space="preserve"> </w:t>
      </w:r>
      <w:r w:rsidRPr="00084225">
        <w:rPr>
          <w:rFonts w:cs="B Badr" w:hint="cs"/>
          <w:sz w:val="32"/>
          <w:szCs w:val="32"/>
          <w:rtl/>
        </w:rPr>
        <w:t>وفلوس</w:t>
      </w:r>
      <w:r w:rsidRPr="00084225">
        <w:rPr>
          <w:rFonts w:cs="B Badr"/>
          <w:sz w:val="32"/>
          <w:szCs w:val="32"/>
          <w:rtl/>
        </w:rPr>
        <w:t xml:space="preserve"> </w:t>
      </w:r>
      <w:r w:rsidRPr="00084225">
        <w:rPr>
          <w:rFonts w:cs="B Badr" w:hint="cs"/>
          <w:sz w:val="32"/>
          <w:szCs w:val="32"/>
          <w:rtl/>
        </w:rPr>
        <w:t>وأفلُس،</w:t>
      </w:r>
      <w:r w:rsidRPr="00084225">
        <w:rPr>
          <w:rFonts w:cs="B Badr"/>
          <w:sz w:val="32"/>
          <w:szCs w:val="32"/>
          <w:rtl/>
        </w:rPr>
        <w:t xml:space="preserve"> </w:t>
      </w:r>
      <w:r w:rsidRPr="00084225">
        <w:rPr>
          <w:rFonts w:cs="B Badr" w:hint="cs"/>
          <w:sz w:val="32"/>
          <w:szCs w:val="32"/>
          <w:rtl/>
        </w:rPr>
        <w:t>ويجمع</w:t>
      </w:r>
      <w:r w:rsidRPr="00084225">
        <w:rPr>
          <w:rFonts w:cs="B Badr"/>
          <w:sz w:val="32"/>
          <w:szCs w:val="32"/>
          <w:rtl/>
        </w:rPr>
        <w:t xml:space="preserve"> </w:t>
      </w:r>
      <w:r w:rsidRPr="00084225">
        <w:rPr>
          <w:rFonts w:cs="B Badr" w:hint="cs"/>
          <w:sz w:val="32"/>
          <w:szCs w:val="32"/>
          <w:rtl/>
        </w:rPr>
        <w:t>على</w:t>
      </w:r>
      <w:r w:rsidRPr="00084225">
        <w:rPr>
          <w:rFonts w:ascii="Calibri" w:hAnsi="Calibri" w:cs="Calibri" w:hint="cs"/>
          <w:sz w:val="32"/>
          <w:szCs w:val="32"/>
          <w:rtl/>
        </w:rPr>
        <w:t> </w:t>
      </w:r>
      <w:r w:rsidRPr="00084225">
        <w:rPr>
          <w:rFonts w:cs="B Badr" w:hint="cs"/>
          <w:sz w:val="32"/>
          <w:szCs w:val="32"/>
          <w:rtl/>
        </w:rPr>
        <w:t>أقراء،</w:t>
      </w:r>
      <w:r w:rsidRPr="00084225">
        <w:rPr>
          <w:rFonts w:ascii="Calibri" w:hAnsi="Calibri" w:cs="Calibri" w:hint="cs"/>
          <w:sz w:val="32"/>
          <w:szCs w:val="32"/>
          <w:rtl/>
        </w:rPr>
        <w:t> </w:t>
      </w:r>
      <w:r w:rsidRPr="00084225">
        <w:rPr>
          <w:rFonts w:cs="B Badr" w:hint="cs"/>
          <w:sz w:val="32"/>
          <w:szCs w:val="32"/>
          <w:rtl/>
        </w:rPr>
        <w:t>مثل</w:t>
      </w:r>
      <w:r w:rsidRPr="00084225">
        <w:rPr>
          <w:rFonts w:cs="B Badr"/>
          <w:sz w:val="32"/>
          <w:szCs w:val="32"/>
          <w:rtl/>
        </w:rPr>
        <w:t xml:space="preserve">: </w:t>
      </w:r>
      <w:r w:rsidRPr="00084225">
        <w:rPr>
          <w:rFonts w:cs="B Badr" w:hint="cs"/>
          <w:sz w:val="32"/>
          <w:szCs w:val="32"/>
          <w:rtl/>
        </w:rPr>
        <w:t>قفل</w:t>
      </w:r>
      <w:r w:rsidRPr="00084225">
        <w:rPr>
          <w:rFonts w:cs="B Badr"/>
          <w:sz w:val="32"/>
          <w:szCs w:val="32"/>
          <w:rtl/>
        </w:rPr>
        <w:t xml:space="preserve"> </w:t>
      </w:r>
      <w:r w:rsidRPr="00084225">
        <w:rPr>
          <w:rFonts w:cs="B Badr" w:hint="cs"/>
          <w:sz w:val="32"/>
          <w:szCs w:val="32"/>
          <w:rtl/>
        </w:rPr>
        <w:t>وأقفال</w:t>
      </w:r>
      <w:r w:rsidRPr="00084225">
        <w:rPr>
          <w:rFonts w:cs="B Badr"/>
          <w:sz w:val="32"/>
          <w:szCs w:val="32"/>
          <w:rtl/>
        </w:rPr>
        <w:t>.</w:t>
      </w:r>
    </w:p>
    <w:p w14:paraId="79E74491" w14:textId="77777777" w:rsidR="00084225" w:rsidRPr="00084225" w:rsidRDefault="00084225" w:rsidP="00084225">
      <w:pPr>
        <w:bidi/>
        <w:spacing w:line="360" w:lineRule="auto"/>
        <w:jc w:val="both"/>
        <w:rPr>
          <w:rFonts w:cs="B Badr"/>
          <w:sz w:val="32"/>
          <w:szCs w:val="32"/>
        </w:rPr>
      </w:pPr>
      <w:r w:rsidRPr="00084225">
        <w:rPr>
          <w:rFonts w:cs="B Badr"/>
          <w:sz w:val="32"/>
          <w:szCs w:val="32"/>
          <w:rtl/>
        </w:rPr>
        <w:t>ويطلق على الطهر والحيض جميعاً حيث لا خلاف بين أهل اللغة في أنّ</w:t>
      </w:r>
      <w:r w:rsidRPr="00084225">
        <w:rPr>
          <w:rFonts w:ascii="Calibri" w:hAnsi="Calibri" w:cs="Calibri" w:hint="cs"/>
          <w:sz w:val="32"/>
          <w:szCs w:val="32"/>
          <w:rtl/>
        </w:rPr>
        <w:t> </w:t>
      </w:r>
      <w:r w:rsidRPr="00084225">
        <w:rPr>
          <w:rFonts w:cs="B Badr" w:hint="cs"/>
          <w:sz w:val="32"/>
          <w:szCs w:val="32"/>
          <w:rtl/>
        </w:rPr>
        <w:t>القرء</w:t>
      </w:r>
      <w:r w:rsidRPr="00084225">
        <w:rPr>
          <w:rFonts w:ascii="Calibri" w:hAnsi="Calibri" w:cs="Calibri" w:hint="cs"/>
          <w:sz w:val="32"/>
          <w:szCs w:val="32"/>
          <w:rtl/>
        </w:rPr>
        <w:t> </w:t>
      </w:r>
      <w:r w:rsidRPr="00084225">
        <w:rPr>
          <w:rFonts w:cs="B Badr" w:hint="cs"/>
          <w:sz w:val="32"/>
          <w:szCs w:val="32"/>
          <w:rtl/>
        </w:rPr>
        <w:t>من</w:t>
      </w:r>
      <w:r w:rsidRPr="00084225">
        <w:rPr>
          <w:rFonts w:cs="B Badr"/>
          <w:sz w:val="32"/>
          <w:szCs w:val="32"/>
          <w:rtl/>
        </w:rPr>
        <w:t xml:space="preserve"> </w:t>
      </w:r>
      <w:r w:rsidRPr="00084225">
        <w:rPr>
          <w:rFonts w:cs="B Badr" w:hint="cs"/>
          <w:sz w:val="32"/>
          <w:szCs w:val="32"/>
          <w:rtl/>
        </w:rPr>
        <w:t>الأسماء</w:t>
      </w:r>
      <w:r w:rsidRPr="00084225">
        <w:rPr>
          <w:rFonts w:cs="B Badr"/>
          <w:sz w:val="32"/>
          <w:szCs w:val="32"/>
          <w:rtl/>
        </w:rPr>
        <w:t xml:space="preserve"> </w:t>
      </w:r>
      <w:r w:rsidRPr="00084225">
        <w:rPr>
          <w:rFonts w:cs="B Badr" w:hint="cs"/>
          <w:sz w:val="32"/>
          <w:szCs w:val="32"/>
          <w:rtl/>
        </w:rPr>
        <w:t>المشتركة</w:t>
      </w:r>
      <w:r w:rsidRPr="00084225">
        <w:rPr>
          <w:rFonts w:cs="B Badr"/>
          <w:sz w:val="32"/>
          <w:szCs w:val="32"/>
          <w:rtl/>
        </w:rPr>
        <w:t xml:space="preserve"> </w:t>
      </w:r>
      <w:r w:rsidRPr="00084225">
        <w:rPr>
          <w:rFonts w:cs="B Badr" w:hint="cs"/>
          <w:sz w:val="32"/>
          <w:szCs w:val="32"/>
          <w:rtl/>
        </w:rPr>
        <w:t>يذكّر</w:t>
      </w:r>
      <w:r w:rsidRPr="00084225">
        <w:rPr>
          <w:rFonts w:cs="B Badr"/>
          <w:sz w:val="32"/>
          <w:szCs w:val="32"/>
          <w:rtl/>
        </w:rPr>
        <w:t xml:space="preserve"> </w:t>
      </w:r>
      <w:r w:rsidRPr="00084225">
        <w:rPr>
          <w:rFonts w:cs="B Badr" w:hint="cs"/>
          <w:sz w:val="32"/>
          <w:szCs w:val="32"/>
          <w:rtl/>
        </w:rPr>
        <w:t>ويراد</w:t>
      </w:r>
      <w:r w:rsidRPr="00084225">
        <w:rPr>
          <w:rFonts w:cs="B Badr"/>
          <w:sz w:val="32"/>
          <w:szCs w:val="32"/>
          <w:rtl/>
        </w:rPr>
        <w:t xml:space="preserve"> </w:t>
      </w:r>
      <w:r w:rsidRPr="00084225">
        <w:rPr>
          <w:rFonts w:cs="B Badr" w:hint="cs"/>
          <w:sz w:val="32"/>
          <w:szCs w:val="32"/>
          <w:rtl/>
        </w:rPr>
        <w:t>به</w:t>
      </w:r>
      <w:r w:rsidRPr="00084225">
        <w:rPr>
          <w:rFonts w:cs="B Badr"/>
          <w:sz w:val="32"/>
          <w:szCs w:val="32"/>
          <w:rtl/>
        </w:rPr>
        <w:t xml:space="preserve"> </w:t>
      </w:r>
      <w:r w:rsidRPr="00084225">
        <w:rPr>
          <w:rFonts w:cs="B Badr" w:hint="cs"/>
          <w:sz w:val="32"/>
          <w:szCs w:val="32"/>
          <w:rtl/>
        </w:rPr>
        <w:t>الحيض</w:t>
      </w:r>
      <w:r w:rsidRPr="00084225">
        <w:rPr>
          <w:rFonts w:cs="B Badr"/>
          <w:sz w:val="32"/>
          <w:szCs w:val="32"/>
          <w:rtl/>
        </w:rPr>
        <w:t xml:space="preserve"> </w:t>
      </w:r>
      <w:r w:rsidRPr="00084225">
        <w:rPr>
          <w:rFonts w:cs="B Badr" w:hint="cs"/>
          <w:sz w:val="32"/>
          <w:szCs w:val="32"/>
          <w:rtl/>
        </w:rPr>
        <w:t>والط</w:t>
      </w:r>
      <w:r w:rsidRPr="00084225">
        <w:rPr>
          <w:rFonts w:cs="B Badr"/>
          <w:sz w:val="32"/>
          <w:szCs w:val="32"/>
          <w:rtl/>
        </w:rPr>
        <w:t>هر على طريق الاشتراك، فيكون حقيقة لكلّ واحد منهما.</w:t>
      </w:r>
    </w:p>
    <w:p w14:paraId="383E637D" w14:textId="77777777" w:rsidR="00084225" w:rsidRPr="00084225" w:rsidRDefault="00084225" w:rsidP="00084225">
      <w:pPr>
        <w:bidi/>
        <w:spacing w:line="360" w:lineRule="auto"/>
        <w:jc w:val="both"/>
        <w:rPr>
          <w:rFonts w:cs="B Badr"/>
          <w:sz w:val="32"/>
          <w:szCs w:val="32"/>
        </w:rPr>
      </w:pPr>
      <w:r w:rsidRPr="00084225">
        <w:rPr>
          <w:rFonts w:cs="B Badr"/>
          <w:sz w:val="32"/>
          <w:szCs w:val="32"/>
          <w:rtl/>
        </w:rPr>
        <w:t>وقد اختلف الفقهاء في المعنى الاصطلاحيّ</w:t>
      </w:r>
      <w:r w:rsidRPr="00084225">
        <w:rPr>
          <w:rFonts w:ascii="Calibri" w:hAnsi="Calibri" w:cs="Calibri" w:hint="cs"/>
          <w:sz w:val="32"/>
          <w:szCs w:val="32"/>
          <w:rtl/>
        </w:rPr>
        <w:t> </w:t>
      </w:r>
      <w:r w:rsidRPr="00084225">
        <w:rPr>
          <w:rFonts w:cs="B Badr" w:hint="cs"/>
          <w:sz w:val="32"/>
          <w:szCs w:val="32"/>
          <w:rtl/>
        </w:rPr>
        <w:t>للقرء</w:t>
      </w:r>
      <w:r w:rsidRPr="00084225">
        <w:rPr>
          <w:rFonts w:ascii="Calibri" w:hAnsi="Calibri" w:cs="Calibri" w:hint="cs"/>
          <w:sz w:val="32"/>
          <w:szCs w:val="32"/>
          <w:rtl/>
        </w:rPr>
        <w:t> </w:t>
      </w:r>
      <w:r w:rsidRPr="00084225">
        <w:rPr>
          <w:rFonts w:cs="B Badr" w:hint="cs"/>
          <w:sz w:val="32"/>
          <w:szCs w:val="32"/>
          <w:rtl/>
        </w:rPr>
        <w:t>على</w:t>
      </w:r>
      <w:r w:rsidRPr="00084225">
        <w:rPr>
          <w:rFonts w:cs="B Badr"/>
          <w:sz w:val="32"/>
          <w:szCs w:val="32"/>
          <w:rtl/>
        </w:rPr>
        <w:t xml:space="preserve"> </w:t>
      </w:r>
      <w:r w:rsidRPr="00084225">
        <w:rPr>
          <w:rFonts w:cs="B Badr" w:hint="cs"/>
          <w:sz w:val="32"/>
          <w:szCs w:val="32"/>
          <w:rtl/>
        </w:rPr>
        <w:t>قولين</w:t>
      </w:r>
      <w:r w:rsidRPr="00084225">
        <w:rPr>
          <w:rFonts w:cs="B Badr"/>
          <w:sz w:val="32"/>
          <w:szCs w:val="32"/>
          <w:rtl/>
        </w:rPr>
        <w:t>:</w:t>
      </w:r>
    </w:p>
    <w:p w14:paraId="4C7B9324" w14:textId="77777777" w:rsidR="00084225" w:rsidRPr="00084225" w:rsidRDefault="00084225" w:rsidP="00084225">
      <w:pPr>
        <w:bidi/>
        <w:spacing w:line="360" w:lineRule="auto"/>
        <w:jc w:val="both"/>
        <w:rPr>
          <w:rFonts w:cs="B Badr"/>
          <w:sz w:val="32"/>
          <w:szCs w:val="32"/>
        </w:rPr>
      </w:pPr>
      <w:r w:rsidRPr="00084225">
        <w:rPr>
          <w:rFonts w:cs="B Badr"/>
          <w:sz w:val="32"/>
          <w:szCs w:val="32"/>
          <w:rtl/>
        </w:rPr>
        <w:t>القول الأوّل: وهو قول المالكيّة والشافعيّة وأحمد ـ في رواية ـ وكثير من</w:t>
      </w:r>
      <w:r w:rsidRPr="00084225">
        <w:rPr>
          <w:rFonts w:cs="B Badr"/>
          <w:sz w:val="32"/>
          <w:szCs w:val="32"/>
          <w:rtl/>
          <w:lang w:bidi="fa-IR"/>
        </w:rPr>
        <w:t xml:space="preserve"> </w:t>
      </w:r>
      <w:r w:rsidRPr="00084225">
        <w:rPr>
          <w:rFonts w:cs="B Badr"/>
          <w:sz w:val="32"/>
          <w:szCs w:val="32"/>
          <w:rtl/>
        </w:rPr>
        <w:t>الصحابة وفقهاء المدينة، قالوا: إنّ المراد</w:t>
      </w:r>
      <w:r w:rsidRPr="00084225">
        <w:rPr>
          <w:rFonts w:ascii="Calibri" w:hAnsi="Calibri" w:cs="Calibri" w:hint="cs"/>
          <w:sz w:val="32"/>
          <w:szCs w:val="32"/>
          <w:rtl/>
        </w:rPr>
        <w:t> </w:t>
      </w:r>
      <w:r w:rsidRPr="00084225">
        <w:rPr>
          <w:rFonts w:cs="B Badr" w:hint="cs"/>
          <w:sz w:val="32"/>
          <w:szCs w:val="32"/>
          <w:rtl/>
        </w:rPr>
        <w:t>بالأقراء</w:t>
      </w:r>
      <w:r w:rsidRPr="00084225">
        <w:rPr>
          <w:rFonts w:ascii="Calibri" w:hAnsi="Calibri" w:cs="Calibri" w:hint="cs"/>
          <w:sz w:val="32"/>
          <w:szCs w:val="32"/>
          <w:rtl/>
        </w:rPr>
        <w:t> </w:t>
      </w:r>
      <w:r w:rsidRPr="00084225">
        <w:rPr>
          <w:rFonts w:cs="B Badr" w:hint="cs"/>
          <w:sz w:val="32"/>
          <w:szCs w:val="32"/>
          <w:rtl/>
        </w:rPr>
        <w:t>في</w:t>
      </w:r>
      <w:r w:rsidRPr="00084225">
        <w:rPr>
          <w:rFonts w:cs="B Badr"/>
          <w:sz w:val="32"/>
          <w:szCs w:val="32"/>
          <w:rtl/>
        </w:rPr>
        <w:t xml:space="preserve"> </w:t>
      </w:r>
      <w:r w:rsidRPr="00084225">
        <w:rPr>
          <w:rFonts w:cs="B Badr" w:hint="cs"/>
          <w:sz w:val="32"/>
          <w:szCs w:val="32"/>
          <w:rtl/>
        </w:rPr>
        <w:t>العدّة</w:t>
      </w:r>
      <w:r w:rsidRPr="00084225">
        <w:rPr>
          <w:rFonts w:cs="B Badr"/>
          <w:sz w:val="32"/>
          <w:szCs w:val="32"/>
          <w:rtl/>
        </w:rPr>
        <w:t xml:space="preserve"> </w:t>
      </w:r>
      <w:r w:rsidRPr="00084225">
        <w:rPr>
          <w:rFonts w:cs="B Badr" w:hint="cs"/>
          <w:sz w:val="32"/>
          <w:szCs w:val="32"/>
          <w:rtl/>
        </w:rPr>
        <w:t>الأ</w:t>
      </w:r>
      <w:r w:rsidRPr="00084225">
        <w:rPr>
          <w:rFonts w:cs="B Badr"/>
          <w:sz w:val="32"/>
          <w:szCs w:val="32"/>
          <w:rtl/>
        </w:rPr>
        <w:t>طهار...</w:t>
      </w:r>
    </w:p>
    <w:p w14:paraId="4C40EB78" w14:textId="77777777" w:rsidR="00084225" w:rsidRPr="00084225" w:rsidRDefault="00084225" w:rsidP="00084225">
      <w:pPr>
        <w:bidi/>
        <w:spacing w:line="360" w:lineRule="auto"/>
        <w:jc w:val="both"/>
        <w:rPr>
          <w:rFonts w:cs="B Badr"/>
          <w:sz w:val="32"/>
          <w:szCs w:val="32"/>
        </w:rPr>
      </w:pPr>
      <w:r w:rsidRPr="00084225">
        <w:rPr>
          <w:rFonts w:cs="B Badr"/>
          <w:sz w:val="32"/>
          <w:szCs w:val="32"/>
          <w:rtl/>
        </w:rPr>
        <w:lastRenderedPageBreak/>
        <w:t>القول الثاني: وهو قول الحنفيّة وأحمد ـ في رواية أُخرى ـ والخلفاء الأربعة وجماعة من السلف وابن مسعود وطائفة كثيرة من الصحابة والتابعين وأئمّةالحديث: أنّ المراد</w:t>
      </w:r>
      <w:r w:rsidRPr="00084225">
        <w:rPr>
          <w:rFonts w:ascii="Calibri" w:hAnsi="Calibri" w:cs="Calibri" w:hint="cs"/>
          <w:sz w:val="32"/>
          <w:szCs w:val="32"/>
          <w:rtl/>
        </w:rPr>
        <w:t> </w:t>
      </w:r>
      <w:r w:rsidRPr="00084225">
        <w:rPr>
          <w:rFonts w:cs="B Badr" w:hint="cs"/>
          <w:sz w:val="32"/>
          <w:szCs w:val="32"/>
          <w:rtl/>
        </w:rPr>
        <w:t>بالقرء</w:t>
      </w:r>
      <w:r w:rsidRPr="00084225">
        <w:rPr>
          <w:rFonts w:ascii="Calibri" w:hAnsi="Calibri" w:cs="Calibri" w:hint="cs"/>
          <w:sz w:val="32"/>
          <w:szCs w:val="32"/>
          <w:rtl/>
        </w:rPr>
        <w:t> </w:t>
      </w:r>
      <w:r w:rsidRPr="00084225">
        <w:rPr>
          <w:rFonts w:cs="B Badr" w:hint="cs"/>
          <w:sz w:val="32"/>
          <w:szCs w:val="32"/>
          <w:rtl/>
        </w:rPr>
        <w:t>الحيض،</w:t>
      </w:r>
      <w:r w:rsidRPr="00084225">
        <w:rPr>
          <w:rFonts w:cs="B Badr"/>
          <w:sz w:val="32"/>
          <w:szCs w:val="32"/>
          <w:rtl/>
        </w:rPr>
        <w:t xml:space="preserve"> </w:t>
      </w:r>
      <w:r w:rsidRPr="00084225">
        <w:rPr>
          <w:rFonts w:cs="B Badr" w:hint="cs"/>
          <w:sz w:val="32"/>
          <w:szCs w:val="32"/>
          <w:rtl/>
        </w:rPr>
        <w:t>قال</w:t>
      </w:r>
      <w:r w:rsidRPr="00084225">
        <w:rPr>
          <w:rFonts w:cs="B Badr"/>
          <w:sz w:val="32"/>
          <w:szCs w:val="32"/>
          <w:rtl/>
        </w:rPr>
        <w:t xml:space="preserve"> </w:t>
      </w:r>
      <w:r w:rsidRPr="00084225">
        <w:rPr>
          <w:rFonts w:cs="B Badr" w:hint="cs"/>
          <w:sz w:val="32"/>
          <w:szCs w:val="32"/>
          <w:rtl/>
        </w:rPr>
        <w:t>أحمد</w:t>
      </w:r>
      <w:r w:rsidRPr="00084225">
        <w:rPr>
          <w:rFonts w:cs="B Badr"/>
          <w:sz w:val="32"/>
          <w:szCs w:val="32"/>
          <w:rtl/>
        </w:rPr>
        <w:t xml:space="preserve"> </w:t>
      </w:r>
      <w:r w:rsidRPr="00084225">
        <w:rPr>
          <w:rFonts w:cs="B Badr" w:hint="cs"/>
          <w:sz w:val="32"/>
          <w:szCs w:val="32"/>
          <w:rtl/>
        </w:rPr>
        <w:t>في</w:t>
      </w:r>
      <w:r w:rsidRPr="00084225">
        <w:rPr>
          <w:rFonts w:cs="B Badr"/>
          <w:sz w:val="32"/>
          <w:szCs w:val="32"/>
          <w:rtl/>
        </w:rPr>
        <w:t xml:space="preserve"> </w:t>
      </w:r>
      <w:r w:rsidRPr="00084225">
        <w:rPr>
          <w:rFonts w:cs="B Badr" w:hint="cs"/>
          <w:sz w:val="32"/>
          <w:szCs w:val="32"/>
          <w:rtl/>
        </w:rPr>
        <w:t>رواية</w:t>
      </w:r>
      <w:r w:rsidRPr="00084225">
        <w:rPr>
          <w:rFonts w:cs="B Badr"/>
          <w:sz w:val="32"/>
          <w:szCs w:val="32"/>
          <w:rtl/>
        </w:rPr>
        <w:t xml:space="preserve"> </w:t>
      </w:r>
      <w:r w:rsidRPr="00084225">
        <w:rPr>
          <w:rFonts w:cs="B Badr" w:hint="cs"/>
          <w:sz w:val="32"/>
          <w:szCs w:val="32"/>
          <w:rtl/>
        </w:rPr>
        <w:t>النيسابوريّ</w:t>
      </w:r>
      <w:r w:rsidRPr="00084225">
        <w:rPr>
          <w:rFonts w:cs="B Badr"/>
          <w:sz w:val="32"/>
          <w:szCs w:val="32"/>
          <w:rtl/>
        </w:rPr>
        <w:t xml:space="preserve">: </w:t>
      </w:r>
      <w:r w:rsidRPr="00084225">
        <w:rPr>
          <w:rFonts w:cs="B Badr" w:hint="cs"/>
          <w:sz w:val="32"/>
          <w:szCs w:val="32"/>
          <w:rtl/>
        </w:rPr>
        <w:t>كنت</w:t>
      </w:r>
      <w:r w:rsidRPr="00084225">
        <w:rPr>
          <w:rFonts w:cs="B Badr"/>
          <w:sz w:val="32"/>
          <w:szCs w:val="32"/>
          <w:rtl/>
        </w:rPr>
        <w:t xml:space="preserve"> </w:t>
      </w:r>
      <w:r w:rsidRPr="00084225">
        <w:rPr>
          <w:rFonts w:cs="B Badr" w:hint="cs"/>
          <w:sz w:val="32"/>
          <w:szCs w:val="32"/>
          <w:rtl/>
        </w:rPr>
        <w:t>أقول</w:t>
      </w:r>
      <w:r w:rsidRPr="00084225">
        <w:rPr>
          <w:rFonts w:cs="B Badr"/>
          <w:sz w:val="32"/>
          <w:szCs w:val="32"/>
          <w:rtl/>
        </w:rPr>
        <w:t xml:space="preserve"> </w:t>
      </w:r>
      <w:r w:rsidRPr="00084225">
        <w:rPr>
          <w:rFonts w:cs="B Badr" w:hint="cs"/>
          <w:sz w:val="32"/>
          <w:szCs w:val="32"/>
          <w:rtl/>
        </w:rPr>
        <w:t>إنّه</w:t>
      </w:r>
      <w:r w:rsidRPr="00084225">
        <w:rPr>
          <w:rFonts w:cs="B Badr"/>
          <w:sz w:val="32"/>
          <w:szCs w:val="32"/>
          <w:rtl/>
        </w:rPr>
        <w:t xml:space="preserve"> </w:t>
      </w:r>
      <w:r w:rsidRPr="00084225">
        <w:rPr>
          <w:rFonts w:cs="B Badr" w:hint="cs"/>
          <w:sz w:val="32"/>
          <w:szCs w:val="32"/>
          <w:rtl/>
        </w:rPr>
        <w:t>الأطهار</w:t>
      </w:r>
      <w:r w:rsidRPr="00084225">
        <w:rPr>
          <w:rFonts w:cs="B Badr"/>
          <w:sz w:val="32"/>
          <w:szCs w:val="32"/>
          <w:rtl/>
        </w:rPr>
        <w:t xml:space="preserve"> </w:t>
      </w:r>
      <w:r w:rsidRPr="00084225">
        <w:rPr>
          <w:rFonts w:cs="B Badr" w:hint="cs"/>
          <w:sz w:val="32"/>
          <w:szCs w:val="32"/>
          <w:rtl/>
        </w:rPr>
        <w:t>وأنا</w:t>
      </w:r>
      <w:r w:rsidRPr="00084225">
        <w:rPr>
          <w:rFonts w:cs="B Badr"/>
          <w:sz w:val="32"/>
          <w:szCs w:val="32"/>
          <w:rtl/>
        </w:rPr>
        <w:t xml:space="preserve"> </w:t>
      </w:r>
      <w:r w:rsidRPr="00084225">
        <w:rPr>
          <w:rFonts w:cs="B Badr" w:hint="cs"/>
          <w:sz w:val="32"/>
          <w:szCs w:val="32"/>
          <w:rtl/>
        </w:rPr>
        <w:t>أذهب</w:t>
      </w:r>
      <w:r w:rsidRPr="00084225">
        <w:rPr>
          <w:rFonts w:cs="B Badr"/>
          <w:sz w:val="32"/>
          <w:szCs w:val="32"/>
          <w:rtl/>
        </w:rPr>
        <w:t xml:space="preserve"> </w:t>
      </w:r>
      <w:r w:rsidRPr="00084225">
        <w:rPr>
          <w:rFonts w:cs="B Badr" w:hint="cs"/>
          <w:sz w:val="32"/>
          <w:szCs w:val="32"/>
          <w:rtl/>
        </w:rPr>
        <w:t>اليوم</w:t>
      </w:r>
      <w:r w:rsidRPr="00084225">
        <w:rPr>
          <w:rFonts w:cs="B Badr"/>
          <w:sz w:val="32"/>
          <w:szCs w:val="32"/>
          <w:rtl/>
        </w:rPr>
        <w:t xml:space="preserve"> </w:t>
      </w:r>
      <w:r w:rsidRPr="00084225">
        <w:rPr>
          <w:rFonts w:cs="B Badr" w:hint="cs"/>
          <w:sz w:val="32"/>
          <w:szCs w:val="32"/>
          <w:rtl/>
        </w:rPr>
        <w:t>إلى</w:t>
      </w:r>
      <w:r w:rsidRPr="00084225">
        <w:rPr>
          <w:rFonts w:cs="B Badr"/>
          <w:sz w:val="32"/>
          <w:szCs w:val="32"/>
          <w:rtl/>
        </w:rPr>
        <w:t xml:space="preserve"> </w:t>
      </w:r>
      <w:r w:rsidRPr="00084225">
        <w:rPr>
          <w:rFonts w:cs="B Badr" w:hint="cs"/>
          <w:sz w:val="32"/>
          <w:szCs w:val="32"/>
          <w:rtl/>
        </w:rPr>
        <w:t>أنّ</w:t>
      </w:r>
      <w:r w:rsidRPr="00084225">
        <w:rPr>
          <w:rFonts w:cs="B Badr"/>
          <w:sz w:val="32"/>
          <w:szCs w:val="32"/>
          <w:rtl/>
        </w:rPr>
        <w:t xml:space="preserve"> </w:t>
      </w:r>
      <w:r w:rsidRPr="00084225">
        <w:rPr>
          <w:rFonts w:cs="B Badr" w:hint="cs"/>
          <w:sz w:val="32"/>
          <w:szCs w:val="32"/>
          <w:rtl/>
        </w:rPr>
        <w:t>الأقراء</w:t>
      </w:r>
      <w:r w:rsidRPr="00084225">
        <w:rPr>
          <w:rFonts w:cs="B Badr"/>
          <w:sz w:val="32"/>
          <w:szCs w:val="32"/>
          <w:rtl/>
        </w:rPr>
        <w:t xml:space="preserve"> </w:t>
      </w:r>
      <w:r w:rsidRPr="00084225">
        <w:rPr>
          <w:rFonts w:cs="B Badr" w:hint="cs"/>
          <w:sz w:val="32"/>
          <w:szCs w:val="32"/>
          <w:rtl/>
        </w:rPr>
        <w:t>الحيض</w:t>
      </w:r>
      <w:r w:rsidRPr="00084225">
        <w:rPr>
          <w:rFonts w:cs="B Badr"/>
          <w:sz w:val="32"/>
          <w:szCs w:val="32"/>
          <w:rtl/>
        </w:rPr>
        <w:t>.</w:t>
      </w:r>
      <w:r w:rsidRPr="00084225">
        <w:rPr>
          <w:rFonts w:cs="B Badr" w:hint="cs"/>
          <w:sz w:val="32"/>
          <w:szCs w:val="32"/>
          <w:rtl/>
        </w:rPr>
        <w:t>»</w:t>
      </w:r>
    </w:p>
    <w:p w14:paraId="71962F09"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اين در حالی است که در بين شيعه خلافی نيست که مراد از قرء در آيه شريفه، طهر است.</w:t>
      </w:r>
    </w:p>
    <w:p w14:paraId="34420243"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قال في الجواهر: «عدّة ذات الأقراء وهي المستقيمة الحيض ـ أي التي يأتيها حيضها في كل شهر مرة على عادة النساء وفي معناها معتادة الحيض فيما دون الثلاثة أشهر ـ ...ف‍هي تعتدّ بثلاثة أقراء بلا خلاف أجده فيه، بل الإجماع بقسميه عليه، مضافا إلى الكتاب  والسنّة. وهي الأطهار هنا عندنا على أشهر الروايتين عملاً ورواية، بل لم أقف فيه على مخالف وإن أرسله بعضهم، بل عن صريح الانتصار والخلاف وظاهر الاستبصار وغيرها الإجماع عليه، بل يمكن تحصيله أوالقطع بذلك ولو بملاحظة النصوص والفتاوى، كما أنّه يمكن دعوى تواتر الأدلّة فيه أو القطع به.»</w:t>
      </w:r>
    </w:p>
    <w:p w14:paraId="635DA479"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به همين جهت برخی از اخباری که در طلاق ذات اقراء دلالت بر اعتداد به سه حيض دارند را حمل بر تقيه کرده</w:t>
      </w:r>
      <w:r w:rsidRPr="00084225">
        <w:rPr>
          <w:rFonts w:cs="B Badr"/>
          <w:sz w:val="32"/>
          <w:szCs w:val="32"/>
          <w:cs/>
          <w:lang w:bidi="fa-IR"/>
        </w:rPr>
        <w:t>‎</w:t>
      </w:r>
      <w:r w:rsidRPr="00084225">
        <w:rPr>
          <w:rFonts w:cs="B Badr"/>
          <w:sz w:val="32"/>
          <w:szCs w:val="32"/>
          <w:rtl/>
          <w:lang w:bidi="fa-IR"/>
        </w:rPr>
        <w:t>اند و يا گفته</w:t>
      </w:r>
      <w:r w:rsidRPr="00084225">
        <w:rPr>
          <w:rFonts w:cs="B Badr"/>
          <w:sz w:val="32"/>
          <w:szCs w:val="32"/>
          <w:cs/>
          <w:lang w:bidi="fa-IR"/>
        </w:rPr>
        <w:t>‎</w:t>
      </w:r>
      <w:r w:rsidRPr="00084225">
        <w:rPr>
          <w:rFonts w:cs="B Badr"/>
          <w:sz w:val="32"/>
          <w:szCs w:val="32"/>
          <w:rtl/>
          <w:lang w:bidi="fa-IR"/>
        </w:rPr>
        <w:t>اند که مراد از سه حيض، شروع حيض سوم است.</w:t>
      </w:r>
    </w:p>
    <w:p w14:paraId="1A7B9186"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منها: صحيحة الحلبي عن أبي عبدالله(ع)، قال: «عدّة التي تحيض ويستقيم حيضها، ثلاثة أقراء وهي ثلاث حيض.»</w:t>
      </w:r>
    </w:p>
    <w:p w14:paraId="5785D5B4" w14:textId="48BB8103"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lastRenderedPageBreak/>
        <w:t>قال الشيخ في التهذيب بعد نقل الصحيحة ومقطوعة أبي بصير التي هو مثلها: «الوجه في هذين الخبرين أيضاً ال</w:t>
      </w:r>
      <w:r w:rsidRPr="00084225">
        <w:rPr>
          <w:rFonts w:cs="B Badr"/>
          <w:sz w:val="32"/>
          <w:szCs w:val="32"/>
          <w:rtl/>
        </w:rPr>
        <w:t>ت</w:t>
      </w:r>
      <w:r w:rsidRPr="00084225">
        <w:rPr>
          <w:rFonts w:cs="B Badr"/>
          <w:sz w:val="32"/>
          <w:szCs w:val="32"/>
          <w:rtl/>
          <w:lang w:bidi="fa-IR"/>
        </w:rPr>
        <w:t>قيّة لأنّهما يتضمّنان تفسير الأقراء بأنّها الحيض وقد بيّنّا نحن أنّ الأقراء هي الأطهار.</w:t>
      </w:r>
      <w:r w:rsidRPr="00084225">
        <w:rPr>
          <w:rFonts w:ascii="Calibri" w:eastAsiaTheme="minorEastAsia" w:hAnsi="Abz-2 (Badr)"/>
          <w:color w:val="000000" w:themeColor="text1"/>
          <w:kern w:val="24"/>
          <w:sz w:val="64"/>
          <w:szCs w:val="64"/>
          <w:rtl/>
          <w:lang w:bidi="fa-IR"/>
        </w:rPr>
        <w:t xml:space="preserve"> </w:t>
      </w:r>
      <w:r w:rsidRPr="00084225">
        <w:rPr>
          <w:rFonts w:cs="B Badr"/>
          <w:sz w:val="32"/>
          <w:szCs w:val="32"/>
          <w:rtl/>
          <w:lang w:bidi="fa-IR"/>
        </w:rPr>
        <w:t>على أنّ قوله ثلاث حيض يحتمل أن يكون إذا رأت الدم من الحيضة الثالثة، لأنّه يكون قد مضى لها حيضتان وترى الدم من الحيضة الثالثة، فتصير ثلاثة قروء، وليس في الخبر أنّها تستوفي الحيضة الثالثة.»</w:t>
      </w:r>
    </w:p>
    <w:p w14:paraId="51E9D837"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با توجه به مطلب فوق، می</w:t>
      </w:r>
      <w:r w:rsidRPr="00084225">
        <w:rPr>
          <w:rFonts w:cs="B Badr"/>
          <w:sz w:val="32"/>
          <w:szCs w:val="32"/>
          <w:cs/>
          <w:lang w:bidi="fa-IR"/>
        </w:rPr>
        <w:t>‎</w:t>
      </w:r>
      <w:r w:rsidRPr="00084225">
        <w:rPr>
          <w:rFonts w:cs="B Badr"/>
          <w:sz w:val="32"/>
          <w:szCs w:val="32"/>
          <w:rtl/>
          <w:lang w:bidi="fa-IR"/>
        </w:rPr>
        <w:t>توان در خصوص جمع بين اخبار اين گونه گفت که روايات دسته دوم که دلالت بر اين می</w:t>
      </w:r>
      <w:r w:rsidRPr="00084225">
        <w:rPr>
          <w:rFonts w:cs="B Badr"/>
          <w:sz w:val="32"/>
          <w:szCs w:val="32"/>
          <w:cs/>
          <w:lang w:bidi="fa-IR"/>
        </w:rPr>
        <w:t>‎</w:t>
      </w:r>
      <w:r w:rsidRPr="00084225">
        <w:rPr>
          <w:rFonts w:cs="B Badr"/>
          <w:sz w:val="32"/>
          <w:szCs w:val="32"/>
          <w:rtl/>
          <w:lang w:bidi="fa-IR"/>
        </w:rPr>
        <w:t>کنند که عده متعه به مانند عده امه، نصف عده حره در نکاح دائم است، قرينه</w:t>
      </w:r>
      <w:r w:rsidRPr="00084225">
        <w:rPr>
          <w:rFonts w:cs="B Badr"/>
          <w:sz w:val="32"/>
          <w:szCs w:val="32"/>
          <w:cs/>
          <w:lang w:bidi="fa-IR"/>
        </w:rPr>
        <w:t>‎</w:t>
      </w:r>
      <w:r w:rsidRPr="00084225">
        <w:rPr>
          <w:rFonts w:cs="B Badr"/>
          <w:sz w:val="32"/>
          <w:szCs w:val="32"/>
          <w:rtl/>
          <w:lang w:bidi="fa-IR"/>
        </w:rPr>
        <w:t>ای برای جمع بين اخبار ديگر واقع می</w:t>
      </w:r>
      <w:r w:rsidRPr="00084225">
        <w:rPr>
          <w:rFonts w:cs="B Badr"/>
          <w:sz w:val="32"/>
          <w:szCs w:val="32"/>
          <w:cs/>
          <w:lang w:bidi="fa-IR"/>
        </w:rPr>
        <w:t>‎</w:t>
      </w:r>
      <w:r w:rsidRPr="00084225">
        <w:rPr>
          <w:rFonts w:cs="B Badr"/>
          <w:sz w:val="32"/>
          <w:szCs w:val="32"/>
          <w:rtl/>
          <w:lang w:bidi="fa-IR"/>
        </w:rPr>
        <w:t>شوند، بدين معنا که چون می</w:t>
      </w:r>
      <w:r w:rsidRPr="00084225">
        <w:rPr>
          <w:rFonts w:cs="B Badr"/>
          <w:sz w:val="32"/>
          <w:szCs w:val="32"/>
          <w:cs/>
          <w:lang w:bidi="fa-IR"/>
        </w:rPr>
        <w:t>‎</w:t>
      </w:r>
      <w:r w:rsidRPr="00084225">
        <w:rPr>
          <w:rFonts w:cs="B Badr"/>
          <w:sz w:val="32"/>
          <w:szCs w:val="32"/>
          <w:rtl/>
          <w:lang w:bidi="fa-IR"/>
        </w:rPr>
        <w:t>دانيم عده حره در نکاح دائم سه طهر است که يک طهر آن، طهری است که طلاق در آن واقع شده است و در نتيجه سه طهر، شامل دو حيض کامل نيز می</w:t>
      </w:r>
      <w:r w:rsidRPr="00084225">
        <w:rPr>
          <w:rFonts w:cs="B Badr"/>
          <w:sz w:val="32"/>
          <w:szCs w:val="32"/>
          <w:cs/>
          <w:lang w:bidi="fa-IR"/>
        </w:rPr>
        <w:t>‎</w:t>
      </w:r>
      <w:r w:rsidRPr="00084225">
        <w:rPr>
          <w:rFonts w:cs="B Badr"/>
          <w:sz w:val="32"/>
          <w:szCs w:val="32"/>
          <w:rtl/>
          <w:lang w:bidi="fa-IR"/>
        </w:rPr>
        <w:t>شوند، بنابر اين نصف آن می</w:t>
      </w:r>
      <w:r w:rsidRPr="00084225">
        <w:rPr>
          <w:rFonts w:cs="B Badr"/>
          <w:sz w:val="32"/>
          <w:szCs w:val="32"/>
          <w:cs/>
          <w:lang w:bidi="fa-IR"/>
        </w:rPr>
        <w:t>‎</w:t>
      </w:r>
      <w:r w:rsidRPr="00084225">
        <w:rPr>
          <w:rFonts w:cs="B Badr"/>
          <w:sz w:val="32"/>
          <w:szCs w:val="32"/>
          <w:rtl/>
          <w:lang w:bidi="fa-IR"/>
        </w:rPr>
        <w:t>شود يک حيض کامل و يک طهر و نيم که بر اساس راوياتی که در باب عده امه وجود</w:t>
      </w:r>
      <w:r>
        <w:rPr>
          <w:rFonts w:cs="B Badr" w:hint="cs"/>
          <w:sz w:val="32"/>
          <w:szCs w:val="32"/>
          <w:rtl/>
          <w:lang w:bidi="fa-IR"/>
        </w:rPr>
        <w:t xml:space="preserve"> </w:t>
      </w:r>
      <w:r w:rsidRPr="00084225">
        <w:rPr>
          <w:rFonts w:cs="B Badr"/>
          <w:sz w:val="32"/>
          <w:szCs w:val="32"/>
          <w:rtl/>
          <w:lang w:bidi="fa-IR"/>
        </w:rPr>
        <w:t>دارد، معلوم می</w:t>
      </w:r>
      <w:r w:rsidRPr="00084225">
        <w:rPr>
          <w:rFonts w:cs="B Badr"/>
          <w:sz w:val="32"/>
          <w:szCs w:val="32"/>
          <w:cs/>
          <w:lang w:bidi="fa-IR"/>
        </w:rPr>
        <w:t>‎</w:t>
      </w:r>
      <w:r w:rsidRPr="00084225">
        <w:rPr>
          <w:rFonts w:cs="B Badr"/>
          <w:sz w:val="32"/>
          <w:szCs w:val="32"/>
          <w:rtl/>
          <w:lang w:bidi="fa-IR"/>
        </w:rPr>
        <w:t>شود که طهر اول آن همان طهری است که طلاق در آن واقع شده است و طهر دوم نيز بايد تا انتهای آن ـ يعنی تا شروع حيض دوم ـ به عنوان عده لحاظ گردد.</w:t>
      </w:r>
    </w:p>
    <w:p w14:paraId="1318925F" w14:textId="777777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بنابر اين رواياتی که دلالت بر اعتداد به يک حيض می</w:t>
      </w:r>
      <w:r w:rsidRPr="00084225">
        <w:rPr>
          <w:rFonts w:cs="B Badr"/>
          <w:sz w:val="32"/>
          <w:szCs w:val="32"/>
          <w:cs/>
          <w:lang w:bidi="fa-IR"/>
        </w:rPr>
        <w:t>‎</w:t>
      </w:r>
      <w:r w:rsidRPr="00084225">
        <w:rPr>
          <w:rFonts w:cs="B Badr"/>
          <w:sz w:val="32"/>
          <w:szCs w:val="32"/>
          <w:rtl/>
          <w:lang w:bidi="fa-IR"/>
        </w:rPr>
        <w:t xml:space="preserve">کنند مراد از آنها اين است که بر خلاف نکاح دائم که عده آن شامل دو حيض کامل است، عده متعه فقط شامل يک حيض کامل است و رواياتی که </w:t>
      </w:r>
      <w:r w:rsidRPr="00084225">
        <w:rPr>
          <w:rFonts w:cs="B Badr"/>
          <w:sz w:val="32"/>
          <w:szCs w:val="32"/>
          <w:rtl/>
          <w:lang w:bidi="fa-IR"/>
        </w:rPr>
        <w:lastRenderedPageBreak/>
        <w:t>دلالت بر وجوب اعتداد به دو حيض می</w:t>
      </w:r>
      <w:r w:rsidRPr="00084225">
        <w:rPr>
          <w:rFonts w:cs="B Badr"/>
          <w:sz w:val="32"/>
          <w:szCs w:val="32"/>
          <w:cs/>
          <w:lang w:bidi="fa-IR"/>
        </w:rPr>
        <w:t>‎</w:t>
      </w:r>
      <w:r w:rsidRPr="00084225">
        <w:rPr>
          <w:rFonts w:cs="B Badr"/>
          <w:sz w:val="32"/>
          <w:szCs w:val="32"/>
          <w:rtl/>
          <w:lang w:bidi="fa-IR"/>
        </w:rPr>
        <w:t>کنند نيز منظور از آنها اين است که با رؤيت حيض دوم، عده به پايان می</w:t>
      </w:r>
      <w:r w:rsidRPr="00084225">
        <w:rPr>
          <w:rFonts w:cs="B Badr"/>
          <w:sz w:val="32"/>
          <w:szCs w:val="32"/>
          <w:cs/>
          <w:lang w:bidi="fa-IR"/>
        </w:rPr>
        <w:t>‎</w:t>
      </w:r>
      <w:r w:rsidRPr="00084225">
        <w:rPr>
          <w:rFonts w:cs="B Badr"/>
          <w:sz w:val="32"/>
          <w:szCs w:val="32"/>
          <w:rtl/>
          <w:lang w:bidi="fa-IR"/>
        </w:rPr>
        <w:t>رسد.</w:t>
      </w:r>
    </w:p>
    <w:p w14:paraId="118A73CF" w14:textId="45D46C77" w:rsidR="00084225" w:rsidRPr="00084225" w:rsidRDefault="00084225" w:rsidP="00084225">
      <w:pPr>
        <w:bidi/>
        <w:spacing w:line="360" w:lineRule="auto"/>
        <w:jc w:val="both"/>
        <w:rPr>
          <w:rFonts w:cs="B Badr"/>
          <w:sz w:val="32"/>
          <w:szCs w:val="32"/>
          <w:lang w:bidi="fa-IR"/>
        </w:rPr>
      </w:pPr>
      <w:r w:rsidRPr="00084225">
        <w:rPr>
          <w:rFonts w:cs="B Badr"/>
          <w:sz w:val="32"/>
          <w:szCs w:val="32"/>
          <w:rtl/>
          <w:lang w:bidi="fa-IR"/>
        </w:rPr>
        <w:t>مؤيد اين مطلب نيز اين است که در حسنه اسماعيل بن فضل هاشمی با اين که ابن جريج قائل به وجوب اعتداد به دو حيض شده بود و امام صادق(ع) نيزاين مطلب را تقرير کرده بود، اما زراره با اين وجود اصرار بر اعتداد به يک حيض داشته است و معلوم است که زراره با امام(ع) مخالفت نمی</w:t>
      </w:r>
      <w:r w:rsidRPr="00084225">
        <w:rPr>
          <w:rFonts w:cs="B Badr"/>
          <w:sz w:val="32"/>
          <w:szCs w:val="32"/>
          <w:cs/>
          <w:lang w:bidi="fa-IR"/>
        </w:rPr>
        <w:t>‎</w:t>
      </w:r>
      <w:r w:rsidRPr="00084225">
        <w:rPr>
          <w:rFonts w:cs="B Badr"/>
          <w:sz w:val="32"/>
          <w:szCs w:val="32"/>
          <w:rtl/>
          <w:lang w:bidi="fa-IR"/>
        </w:rPr>
        <w:t>کند، بلکه در صدد تبيين مراد امام(ع) از تقرير مطلب است، بدين معنا که اگر امام(ع) دو حيض را تقرير کرده</w:t>
      </w:r>
      <w:r w:rsidRPr="00084225">
        <w:rPr>
          <w:rFonts w:cs="B Badr"/>
          <w:sz w:val="32"/>
          <w:szCs w:val="32"/>
          <w:cs/>
          <w:lang w:bidi="fa-IR"/>
        </w:rPr>
        <w:t>‎</w:t>
      </w:r>
      <w:r w:rsidRPr="00084225">
        <w:rPr>
          <w:rFonts w:cs="B Badr"/>
          <w:sz w:val="32"/>
          <w:szCs w:val="32"/>
          <w:rtl/>
          <w:lang w:bidi="fa-IR"/>
        </w:rPr>
        <w:t>اند مراد ايشان شروع حيض دوم بوده است، وگرنه عده متعه شامل بيش از يک حيض کامل نيست، خصوصاً که ابن جريج از عامه بوده و بعيد نيست که قرء را در آيه شريفه به معنای حيض می</w:t>
      </w:r>
      <w:r w:rsidRPr="00084225">
        <w:rPr>
          <w:rFonts w:cs="B Badr"/>
          <w:sz w:val="32"/>
          <w:szCs w:val="32"/>
          <w:cs/>
          <w:lang w:bidi="fa-IR"/>
        </w:rPr>
        <w:t>‎</w:t>
      </w:r>
      <w:r w:rsidRPr="00084225">
        <w:rPr>
          <w:rFonts w:cs="B Badr"/>
          <w:sz w:val="32"/>
          <w:szCs w:val="32"/>
          <w:rtl/>
          <w:lang w:bidi="fa-IR"/>
        </w:rPr>
        <w:t>دانسته است و چون عده متمتع بها را به مانند امه، نصف عده حره منکوحه به نکاح دائم می</w:t>
      </w:r>
      <w:r w:rsidRPr="00084225">
        <w:rPr>
          <w:rFonts w:cs="B Badr"/>
          <w:sz w:val="32"/>
          <w:szCs w:val="32"/>
          <w:cs/>
          <w:lang w:bidi="fa-IR"/>
        </w:rPr>
        <w:t>‎</w:t>
      </w:r>
      <w:r w:rsidRPr="00084225">
        <w:rPr>
          <w:rFonts w:cs="B Badr"/>
          <w:sz w:val="32"/>
          <w:szCs w:val="32"/>
          <w:rtl/>
          <w:lang w:bidi="fa-IR"/>
        </w:rPr>
        <w:t>دانسته، قائل به اين شده است که عده او دو حيض است و امام(ع) در مقام تقيه با اين مطلب مخالفت نکرده است و آن را در ظاهر تقرير کرده اما زراره مراد ايشان را تبيين کرده است.</w:t>
      </w:r>
      <w:r>
        <w:rPr>
          <w:rFonts w:cs="B Badr" w:hint="cs"/>
          <w:sz w:val="32"/>
          <w:szCs w:val="32"/>
          <w:rtl/>
          <w:lang w:bidi="fa-IR"/>
        </w:rPr>
        <w:t xml:space="preserve"> </w:t>
      </w:r>
    </w:p>
    <w:p w14:paraId="1252D7B5"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مؤيد ديگر اين مطلب نيز تعبير به «حيضة ونصف» در صحيحه عبدالرحمن بن الحجاج (خبر اول از دسته دوم) است که معلوم است که مراد از آن اعتداد تا نصف حيض دوم نيست، بلکه مراد از نصف حيض طهارت دومی است که تا زمان شروع حيض دوم استمرار پيدا می</w:t>
      </w:r>
      <w:r w:rsidRPr="00084225">
        <w:rPr>
          <w:rFonts w:cs="B Badr"/>
          <w:sz w:val="32"/>
          <w:szCs w:val="32"/>
          <w:cs/>
          <w:lang w:bidi="fa-IR"/>
        </w:rPr>
        <w:t>‎</w:t>
      </w:r>
      <w:r w:rsidRPr="00084225">
        <w:rPr>
          <w:rFonts w:cs="B Badr"/>
          <w:sz w:val="32"/>
          <w:szCs w:val="32"/>
          <w:rtl/>
          <w:lang w:bidi="fa-IR"/>
        </w:rPr>
        <w:t>کند.</w:t>
      </w:r>
    </w:p>
    <w:p w14:paraId="0F29F7AD"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lastRenderedPageBreak/>
        <w:t>قال الشهيد الثاني في المسال</w:t>
      </w:r>
      <w:r w:rsidRPr="00084225">
        <w:rPr>
          <w:rFonts w:cs="B Badr"/>
          <w:sz w:val="32"/>
          <w:szCs w:val="32"/>
          <w:rtl/>
        </w:rPr>
        <w:t>ك</w:t>
      </w:r>
      <w:r w:rsidRPr="00084225">
        <w:rPr>
          <w:rFonts w:cs="B Badr"/>
          <w:sz w:val="32"/>
          <w:szCs w:val="32"/>
          <w:rtl/>
          <w:lang w:bidi="fa-IR"/>
        </w:rPr>
        <w:t>: «يمكن حمل الحيضة والنصف على اعتبار الطهرين، وهما لا يتحقّقان إلا بالدخول في الحيضة الثانية، فأُطلق على الجزء من الحيضة الثانية اسم النصف مجازاً.</w:t>
      </w:r>
    </w:p>
    <w:p w14:paraId="580F4ECF"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وهو أنسب بطريق الجمع بين الأخبار وأولى من اطّراح بعضها.»</w:t>
      </w:r>
    </w:p>
    <w:p w14:paraId="5E4F466C"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اما اخباری که دلالت بر اعتداد به 45 روز يا شب دارند خلافی وجود ندارد که مربوط به زنی هستند که در سن من تحيض بوده ولی حيض نمی</w:t>
      </w:r>
      <w:r w:rsidRPr="00084225">
        <w:rPr>
          <w:rFonts w:cs="B Badr"/>
          <w:sz w:val="32"/>
          <w:szCs w:val="32"/>
          <w:cs/>
          <w:lang w:bidi="fa-IR"/>
        </w:rPr>
        <w:t>‎</w:t>
      </w:r>
      <w:r w:rsidRPr="00084225">
        <w:rPr>
          <w:rFonts w:cs="B Badr"/>
          <w:sz w:val="32"/>
          <w:szCs w:val="32"/>
          <w:rtl/>
          <w:lang w:bidi="fa-IR"/>
        </w:rPr>
        <w:t>بيند و حسنه</w:t>
      </w:r>
    </w:p>
    <w:p w14:paraId="5ED23133"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زراره (روايت اول از دسته اول) نيز به روشنی دلالت بر اين مطلب دارد.</w:t>
      </w:r>
    </w:p>
    <w:p w14:paraId="40B65602"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بنابر اين معلوم شد که قول مفيد ـ يعنی اعتداد به دو طهر ـ قولی است که می</w:t>
      </w:r>
      <w:r w:rsidRPr="00084225">
        <w:rPr>
          <w:rFonts w:cs="B Badr"/>
          <w:sz w:val="32"/>
          <w:szCs w:val="32"/>
          <w:cs/>
          <w:lang w:bidi="fa-IR"/>
        </w:rPr>
        <w:t>‎</w:t>
      </w:r>
      <w:r w:rsidRPr="00084225">
        <w:rPr>
          <w:rFonts w:cs="B Badr"/>
          <w:sz w:val="32"/>
          <w:szCs w:val="32"/>
          <w:rtl/>
          <w:lang w:bidi="fa-IR"/>
        </w:rPr>
        <w:t>توان با آن بين اخبار جمع کرد و بلکه شايد بتوان گفت که مراد کسانی که قائل به اقوال ديگر بوده</w:t>
      </w:r>
      <w:r w:rsidRPr="00084225">
        <w:rPr>
          <w:rFonts w:cs="B Badr"/>
          <w:sz w:val="32"/>
          <w:szCs w:val="32"/>
          <w:cs/>
          <w:lang w:bidi="fa-IR"/>
        </w:rPr>
        <w:t>‎</w:t>
      </w:r>
      <w:r w:rsidRPr="00084225">
        <w:rPr>
          <w:rFonts w:cs="B Badr"/>
          <w:sz w:val="32"/>
          <w:szCs w:val="32"/>
          <w:rtl/>
          <w:lang w:bidi="fa-IR"/>
        </w:rPr>
        <w:t>اند نيز همين بوده است همان گونه که در کلام محقق در نکت النهاية گذشت.</w:t>
      </w:r>
    </w:p>
    <w:p w14:paraId="2E0E5475"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قال الفاضل الآبي في کشف الرموز: «اختلفت أقوال الأصحاب وعباراتهم في هذه المسألة، فذهب الشيخ إلى أنّ عدّتها حيضتان أو خمسة وأربعون يوماً، قاله في باب المتعة في النهاية.</w:t>
      </w:r>
    </w:p>
    <w:p w14:paraId="635227AA" w14:textId="629B29E3" w:rsidR="00084225" w:rsidRPr="00084225" w:rsidRDefault="00084225" w:rsidP="00084225">
      <w:pPr>
        <w:bidi/>
        <w:spacing w:line="360" w:lineRule="auto"/>
        <w:jc w:val="both"/>
        <w:rPr>
          <w:rFonts w:cs="B Badr"/>
          <w:sz w:val="32"/>
          <w:szCs w:val="32"/>
        </w:rPr>
      </w:pPr>
      <w:r w:rsidRPr="00084225">
        <w:rPr>
          <w:rFonts w:cs="B Badr"/>
          <w:sz w:val="32"/>
          <w:szCs w:val="32"/>
          <w:rtl/>
          <w:lang w:bidi="fa-IR"/>
        </w:rPr>
        <w:t>وحمله شيخنا على أنّ المراد به حيضة تامّة ورؤية الدم من الحيضة الثانية، وذلك</w:t>
      </w:r>
      <w:r w:rsidRPr="00084225">
        <w:rPr>
          <w:rFonts w:cs="B Badr"/>
          <w:sz w:val="32"/>
          <w:szCs w:val="32"/>
          <w:rtl/>
          <w:lang w:bidi="fa-IR"/>
        </w:rPr>
        <w:br/>
        <w:t>لا يكون إلا في طهرين توفيقاً بينه وبين قوله في باب العدد: عدّتها قرآن، ويعني</w:t>
      </w:r>
      <w:r>
        <w:rPr>
          <w:rFonts w:cs="B Badr" w:hint="cs"/>
          <w:sz w:val="32"/>
          <w:szCs w:val="32"/>
          <w:rtl/>
          <w:lang w:bidi="fa-IR"/>
        </w:rPr>
        <w:t xml:space="preserve"> </w:t>
      </w:r>
      <w:r w:rsidRPr="00084225">
        <w:rPr>
          <w:rFonts w:cs="B Badr"/>
          <w:sz w:val="32"/>
          <w:szCs w:val="32"/>
          <w:rtl/>
          <w:lang w:bidi="fa-IR"/>
        </w:rPr>
        <w:t>القرءين الطهرين، لأنّه محقّق.</w:t>
      </w:r>
    </w:p>
    <w:p w14:paraId="61C88663"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lastRenderedPageBreak/>
        <w:t>وصرّح المفيد بأنّه طهران، واختاره المتأخّر مدّعياً للإجماع.</w:t>
      </w:r>
    </w:p>
    <w:p w14:paraId="64D877CD"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وأطلق ابن بابويه وأبو الصلاح أنّ عدّتها خمسة وأربعون يوماً نظراً إلى إطلاق ما رواه موسى بن بكير...</w:t>
      </w:r>
    </w:p>
    <w:p w14:paraId="5F78ECA1"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ولعلّه محمول على من تعتدّ بالشهور.</w:t>
      </w:r>
    </w:p>
    <w:p w14:paraId="3D1AD1AD"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وقال ابن أبي عقيل: عدّتها حيضة، وهو في رواية ابن أبي عمير...</w:t>
      </w:r>
    </w:p>
    <w:p w14:paraId="48EAB6FC" w14:textId="77777777" w:rsidR="00084225" w:rsidRPr="00084225" w:rsidRDefault="00084225" w:rsidP="00084225">
      <w:pPr>
        <w:bidi/>
        <w:spacing w:line="360" w:lineRule="auto"/>
        <w:jc w:val="both"/>
        <w:rPr>
          <w:rFonts w:cs="B Badr"/>
          <w:sz w:val="32"/>
          <w:szCs w:val="32"/>
        </w:rPr>
      </w:pPr>
      <w:r w:rsidRPr="00084225">
        <w:rPr>
          <w:rFonts w:cs="B Badr"/>
          <w:sz w:val="32"/>
          <w:szCs w:val="32"/>
          <w:rtl/>
          <w:lang w:bidi="fa-IR"/>
        </w:rPr>
        <w:t>قلت: تحمل هذه على حيضة بين طهرين توفيقاً بين الروايات وجمعاً بين الأقوال. والأظهر بين الأصحاب أنّ عدّتها طهران، وهو الأشبه، لأنّ جميع الأقوال يدخل فيه التأويل وهو عريّ عنه، على أنّ في قول الشيخ احتياطاً يؤمّن من تورّط الشبهات.»</w:t>
      </w:r>
    </w:p>
    <w:p w14:paraId="2441CEEB" w14:textId="07899389" w:rsidR="00084225" w:rsidRPr="00084225" w:rsidRDefault="00084225" w:rsidP="00084225">
      <w:pPr>
        <w:bidi/>
        <w:spacing w:line="360" w:lineRule="auto"/>
        <w:jc w:val="both"/>
        <w:rPr>
          <w:rFonts w:cs="B Badr"/>
          <w:sz w:val="32"/>
          <w:szCs w:val="32"/>
        </w:rPr>
      </w:pPr>
    </w:p>
    <w:p w14:paraId="1E3611C5" w14:textId="0BABC69F" w:rsidR="0035070B" w:rsidRPr="00084225" w:rsidRDefault="0035070B" w:rsidP="00084225">
      <w:pPr>
        <w:bidi/>
        <w:spacing w:line="360" w:lineRule="auto"/>
        <w:jc w:val="both"/>
        <w:rPr>
          <w:rFonts w:cs="B Badr"/>
          <w:sz w:val="32"/>
          <w:szCs w:val="32"/>
        </w:rPr>
      </w:pPr>
    </w:p>
    <w:sectPr w:rsidR="0035070B" w:rsidRPr="000842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84225"/>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77251"/>
    <w:rsid w:val="00484404"/>
    <w:rsid w:val="00490895"/>
    <w:rsid w:val="004B6D1E"/>
    <w:rsid w:val="004C34FF"/>
    <w:rsid w:val="00562743"/>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03313805">
      <w:bodyDiv w:val="1"/>
      <w:marLeft w:val="0"/>
      <w:marRight w:val="0"/>
      <w:marTop w:val="0"/>
      <w:marBottom w:val="0"/>
      <w:divBdr>
        <w:top w:val="none" w:sz="0" w:space="0" w:color="auto"/>
        <w:left w:val="none" w:sz="0" w:space="0" w:color="auto"/>
        <w:bottom w:val="none" w:sz="0" w:space="0" w:color="auto"/>
        <w:right w:val="none" w:sz="0" w:space="0" w:color="auto"/>
      </w:divBdr>
    </w:div>
    <w:div w:id="303388146">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4456957">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666645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54992560">
      <w:bodyDiv w:val="1"/>
      <w:marLeft w:val="0"/>
      <w:marRight w:val="0"/>
      <w:marTop w:val="0"/>
      <w:marBottom w:val="0"/>
      <w:divBdr>
        <w:top w:val="none" w:sz="0" w:space="0" w:color="auto"/>
        <w:left w:val="none" w:sz="0" w:space="0" w:color="auto"/>
        <w:bottom w:val="none" w:sz="0" w:space="0" w:color="auto"/>
        <w:right w:val="none" w:sz="0" w:space="0" w:color="auto"/>
      </w:divBdr>
    </w:div>
    <w:div w:id="676923848">
      <w:bodyDiv w:val="1"/>
      <w:marLeft w:val="0"/>
      <w:marRight w:val="0"/>
      <w:marTop w:val="0"/>
      <w:marBottom w:val="0"/>
      <w:divBdr>
        <w:top w:val="none" w:sz="0" w:space="0" w:color="auto"/>
        <w:left w:val="none" w:sz="0" w:space="0" w:color="auto"/>
        <w:bottom w:val="none" w:sz="0" w:space="0" w:color="auto"/>
        <w:right w:val="none" w:sz="0" w:space="0" w:color="auto"/>
      </w:divBdr>
    </w:div>
    <w:div w:id="679353969">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6877288">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2923561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5060038">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14696331">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38729396">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0658029">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52527561">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51030212">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1343</Words>
  <Characters>7659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2022-01-25T08:38:00Z</dcterms:created>
  <dcterms:modified xsi:type="dcterms:W3CDTF">2022-01-25T08:38:00Z</dcterms:modified>
</cp:coreProperties>
</file>