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E2024" w14:textId="77777777" w:rsidR="000A5A5D" w:rsidRDefault="000A5A5D" w:rsidP="000A5A5D">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57D4025B" w14:textId="77777777" w:rsidR="000A5A5D" w:rsidRDefault="000A5A5D" w:rsidP="000A5A5D">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7B6B51DE" w14:textId="77777777" w:rsidR="000A5A5D" w:rsidRDefault="000A5A5D" w:rsidP="000A5A5D">
      <w:pPr>
        <w:widowControl w:val="0"/>
        <w:bidi/>
        <w:spacing w:after="0"/>
        <w:jc w:val="center"/>
        <w:rPr>
          <w:rFonts w:cs="B Mitra" w:hint="cs"/>
          <w:b/>
          <w:bCs/>
          <w:sz w:val="32"/>
          <w:szCs w:val="32"/>
          <w:rtl/>
        </w:rPr>
      </w:pPr>
      <w:r>
        <w:rPr>
          <w:rFonts w:cs="B Mitra" w:hint="cs"/>
          <w:b/>
          <w:bCs/>
          <w:sz w:val="32"/>
          <w:szCs w:val="32"/>
          <w:rtl/>
          <w:lang w:bidi="fa-IR"/>
        </w:rPr>
        <w:t>جلسه 909</w:t>
      </w:r>
    </w:p>
    <w:p w14:paraId="5F30B8AB" w14:textId="77777777" w:rsidR="000A5A5D" w:rsidRDefault="000A5A5D" w:rsidP="000A5A5D">
      <w:pPr>
        <w:widowControl w:val="0"/>
        <w:bidi/>
        <w:spacing w:after="0"/>
        <w:ind w:firstLine="284"/>
        <w:jc w:val="both"/>
        <w:rPr>
          <w:rFonts w:cs="Abz-2 (Badr)" w:hint="cs"/>
          <w:color w:val="000000" w:themeColor="text1"/>
          <w:sz w:val="28"/>
          <w:szCs w:val="28"/>
          <w:rtl/>
          <w:lang w:bidi="fa-IR"/>
        </w:rPr>
      </w:pPr>
      <w:bookmarkStart w:id="0" w:name="_Hlk159096966"/>
    </w:p>
    <w:p w14:paraId="6B295E3F" w14:textId="77777777" w:rsidR="000A5A5D" w:rsidRDefault="000A5A5D" w:rsidP="000A5A5D">
      <w:pPr>
        <w:widowControl w:val="0"/>
        <w:bidi/>
        <w:spacing w:after="0"/>
        <w:ind w:left="1701" w:firstLine="284"/>
        <w:jc w:val="both"/>
        <w:rPr>
          <w:rFonts w:cs="Abz-2 (Badr)" w:hint="cs"/>
          <w:color w:val="00B050"/>
          <w:spacing w:val="-2"/>
          <w:sz w:val="28"/>
          <w:szCs w:val="28"/>
          <w:rtl/>
          <w:lang w:bidi="ar"/>
        </w:rPr>
      </w:pPr>
      <w:bookmarkStart w:id="1" w:name="_Hlk217856631"/>
      <w:bookmarkStart w:id="2" w:name="_Hlk217813422"/>
      <w:bookmarkEnd w:id="0"/>
      <w:r>
        <w:rPr>
          <w:rFonts w:cs="Abz-2 (Badr)" w:hint="cs"/>
          <w:color w:val="00B050"/>
          <w:spacing w:val="-2"/>
          <w:sz w:val="28"/>
          <w:szCs w:val="28"/>
          <w:rtl/>
          <w:lang w:bidi="fa-IR"/>
        </w:rPr>
        <w:t>قال المحقّق الحلّي: «</w:t>
      </w:r>
      <w:r>
        <w:rPr>
          <w:rFonts w:cs="Abz-2 (Badr)" w:hint="cs"/>
          <w:color w:val="00B050"/>
          <w:spacing w:val="-2"/>
          <w:sz w:val="28"/>
          <w:szCs w:val="28"/>
          <w:rtl/>
          <w:lang w:bidi="ar"/>
        </w:rPr>
        <w:t>الرابعة: إذا ادّعت البائن أنّها حامل، صرفت إليها النفقة يوماً فيوماً، فإن تبيّن الحمل وإلا استعيدت. ولا ينفق على بائن غير المطلقة الحامل. وقال الشيخ رحمه الله: ينفق، لأنّ النفقة للولد.</w:t>
      </w:r>
    </w:p>
    <w:p w14:paraId="2D1186D5" w14:textId="77777777" w:rsidR="000A5A5D" w:rsidRDefault="000A5A5D" w:rsidP="000A5A5D">
      <w:pPr>
        <w:widowControl w:val="0"/>
        <w:bidi/>
        <w:spacing w:after="0"/>
        <w:ind w:left="1701" w:firstLine="284"/>
        <w:jc w:val="both"/>
        <w:rPr>
          <w:rFonts w:cs="Abz-2 (Badr)" w:hint="cs"/>
          <w:color w:val="00B050"/>
          <w:spacing w:val="-2"/>
          <w:sz w:val="28"/>
          <w:szCs w:val="28"/>
          <w:rtl/>
          <w:lang w:bidi="fa-IR"/>
        </w:rPr>
      </w:pPr>
      <w:r>
        <w:rPr>
          <w:rFonts w:cs="Abz-2 (Badr)" w:hint="cs"/>
          <w:color w:val="00B050"/>
          <w:spacing w:val="-2"/>
          <w:sz w:val="28"/>
          <w:szCs w:val="28"/>
          <w:rtl/>
          <w:lang w:bidi="ar"/>
        </w:rPr>
        <w:t>فرع: على قوله، إذا لاعنها فبانت منه وهي حامل، فلا نفقة لها، لانتفاء الولد. وكذا لو طلّقها ثمّ ظهر بها حمل فأنكره ولاعنها. ولو أكذب نفسه بعد اللعان واستلحقه، لزمه الإنفاق، لأنّه من حقوق الولد.»</w:t>
      </w:r>
      <w:bookmarkStart w:id="3" w:name="_Hlk220068830"/>
      <w:r>
        <w:rPr>
          <w:rStyle w:val="FootnoteReference"/>
          <w:rFonts w:cs="Abz-2 (Badr)"/>
          <w:color w:val="000000" w:themeColor="text1"/>
          <w:sz w:val="28"/>
          <w:szCs w:val="28"/>
          <w:rtl/>
          <w:lang w:bidi="ar"/>
        </w:rPr>
        <w:footnoteReference w:id="1"/>
      </w:r>
      <w:bookmarkEnd w:id="3"/>
    </w:p>
    <w:p w14:paraId="146E5B3E" w14:textId="77777777" w:rsidR="000A5A5D" w:rsidRDefault="000A5A5D" w:rsidP="000A5A5D">
      <w:pPr>
        <w:widowControl w:val="0"/>
        <w:bidi/>
        <w:spacing w:after="0"/>
        <w:ind w:firstLine="284"/>
        <w:jc w:val="both"/>
        <w:rPr>
          <w:rFonts w:cs="Abz-2 (Badr)" w:hint="cs"/>
          <w:color w:val="000000" w:themeColor="text1"/>
          <w:sz w:val="28"/>
          <w:szCs w:val="28"/>
          <w:rtl/>
          <w:lang w:bidi="fa-IR"/>
        </w:rPr>
      </w:pPr>
    </w:p>
    <w:p w14:paraId="68AF2666"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اين مسأله را در ضمن چند فرع پی می</w:t>
      </w:r>
      <w:r>
        <w:rPr>
          <w:rFonts w:cs="Abz-2 (Badr)" w:hint="cs"/>
          <w:color w:val="000000" w:themeColor="text1"/>
          <w:sz w:val="28"/>
          <w:szCs w:val="28"/>
          <w:rtl/>
          <w:lang w:bidi="fa-IR"/>
        </w:rPr>
        <w:softHyphen/>
        <w:t>گيريم:</w:t>
      </w:r>
    </w:p>
    <w:p w14:paraId="2260FED5" w14:textId="77777777" w:rsidR="000A5A5D" w:rsidRDefault="000A5A5D" w:rsidP="000A5A5D">
      <w:pPr>
        <w:widowControl w:val="0"/>
        <w:bidi/>
        <w:spacing w:after="0"/>
        <w:ind w:firstLine="284"/>
        <w:jc w:val="both"/>
        <w:rPr>
          <w:rFonts w:cs="Abz-2 (Badr)" w:hint="cs"/>
          <w:color w:val="C45911" w:themeColor="accent2" w:themeShade="BF"/>
          <w:sz w:val="28"/>
          <w:szCs w:val="28"/>
          <w:rtl/>
          <w:lang w:bidi="fa-IR"/>
        </w:rPr>
      </w:pPr>
      <w:r>
        <w:rPr>
          <w:rFonts w:cs="Abz-2 (Badr)" w:hint="cs"/>
          <w:color w:val="C45911" w:themeColor="accent2" w:themeShade="BF"/>
          <w:sz w:val="28"/>
          <w:szCs w:val="28"/>
          <w:rtl/>
          <w:lang w:bidi="fa-IR"/>
        </w:rPr>
        <w:t>فرع اول: زمان وجوب نفقه مطلقه بائن حامل</w:t>
      </w:r>
    </w:p>
    <w:p w14:paraId="7E1CFACE"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در ضمن مسائل سابق گذشت که چنانچه مطلقه بائن حامل باشد، نفقه وی تا زمان وضع حمل بر مطلّق واجب است.</w:t>
      </w:r>
    </w:p>
    <w:p w14:paraId="38CEB157"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سؤالی که در اين مقام در پی پاسخ دادن به آن هستيم اين است که از چه زمانی بر مطلق دادن نفقه واجب می</w:t>
      </w:r>
      <w:r>
        <w:rPr>
          <w:rFonts w:cs="Abz-2 (Badr)" w:hint="cs"/>
          <w:color w:val="000000" w:themeColor="text1"/>
          <w:sz w:val="28"/>
          <w:szCs w:val="28"/>
          <w:rtl/>
          <w:lang w:bidi="fa-IR"/>
        </w:rPr>
        <w:softHyphen/>
        <w:t>شود؟ آيا به مجرد اين که مطلقه ادعای حمل نمود بايد نفقه او داده شود؟ يا اين که اين مطلب منوط بر ظهور امارات حمل است؟ يا اين که متوقف بر اين است که قوابل به اين امر شهادت دهند؟</w:t>
      </w:r>
    </w:p>
    <w:p w14:paraId="6C761DDC"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از کلام محقق آشکار می</w:t>
      </w:r>
      <w:r>
        <w:rPr>
          <w:rFonts w:cs="Abz-2 (Badr)" w:hint="cs"/>
          <w:color w:val="000000" w:themeColor="text1"/>
          <w:sz w:val="28"/>
          <w:szCs w:val="28"/>
          <w:rtl/>
          <w:lang w:bidi="fa-IR"/>
        </w:rPr>
        <w:softHyphen/>
        <w:t>شود که ايشان به مجرد ادعای مطلقه مبنی بر وجود حمل، دادن نفقه به وی را واجب دانسته</w:t>
      </w:r>
      <w:r>
        <w:rPr>
          <w:rFonts w:cs="Abz-2 (Badr)" w:hint="cs"/>
          <w:color w:val="000000" w:themeColor="text1"/>
          <w:sz w:val="28"/>
          <w:szCs w:val="28"/>
          <w:rtl/>
          <w:lang w:bidi="fa-IR"/>
        </w:rPr>
        <w:softHyphen/>
        <w:t>اند.</w:t>
      </w:r>
    </w:p>
    <w:p w14:paraId="0A64772A"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علامه نيز در قواعد فرموده است: </w:t>
      </w:r>
      <w:r>
        <w:rPr>
          <w:rFonts w:cs="Abz-2 (Badr)" w:hint="cs"/>
          <w:color w:val="0070C0"/>
          <w:sz w:val="28"/>
          <w:szCs w:val="28"/>
          <w:rtl/>
          <w:lang w:bidi="fa-IR"/>
        </w:rPr>
        <w:t>«</w:t>
      </w:r>
      <w:r>
        <w:rPr>
          <w:rFonts w:cs="Abz-2 (Badr)" w:hint="cs"/>
          <w:color w:val="0070C0"/>
          <w:sz w:val="28"/>
          <w:szCs w:val="28"/>
          <w:rtl/>
          <w:lang w:bidi="ar"/>
        </w:rPr>
        <w:t xml:space="preserve">يجب تعجيل النفقة قبل الوضع بظنّ‌ الحمل، فإن ظهر فساده استردّ. ولو أخّر الدفع </w:t>
      </w:r>
      <w:r>
        <w:rPr>
          <w:rFonts w:cs="Abz-2 (Badr)" w:hint="cs"/>
          <w:color w:val="0070C0"/>
          <w:sz w:val="28"/>
          <w:szCs w:val="28"/>
          <w:rtl/>
          <w:lang w:bidi="ar"/>
        </w:rPr>
        <w:lastRenderedPageBreak/>
        <w:t>ومضى زمان علم فيه الحمل، وجب القضاء، إلا إذا قلنا: إنّه للحمل، فإنّه يسقط بمضيّ الزمان.»</w:t>
      </w:r>
      <w:r>
        <w:rPr>
          <w:rStyle w:val="FootnoteReference"/>
          <w:rFonts w:cs="Abz-2 (Badr)"/>
          <w:color w:val="000000" w:themeColor="text1"/>
          <w:sz w:val="28"/>
          <w:szCs w:val="28"/>
          <w:rtl/>
          <w:lang w:bidi="ar"/>
        </w:rPr>
        <w:footnoteReference w:id="2"/>
      </w:r>
    </w:p>
    <w:p w14:paraId="4B3C2BA6" w14:textId="77777777" w:rsidR="000A5A5D" w:rsidRDefault="000A5A5D" w:rsidP="000A5A5D">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t>کاشف اللثام در توجيه وجوب دادن نفقه به مجرد وجود ظن به حمل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 xml:space="preserve">لما في التأخير من الإضرار، ولقوله تعالى: </w:t>
      </w:r>
      <w:r>
        <w:rPr>
          <w:rFonts w:cs="QuranTaha" w:hint="cs"/>
          <w:color w:val="BF8F00" w:themeColor="accent4" w:themeShade="BF"/>
          <w:sz w:val="26"/>
          <w:szCs w:val="26"/>
          <w:rtl/>
          <w:lang w:bidi="ar"/>
        </w:rPr>
        <w:t>«وَإِنْ‌ كُنَّ‌ أُولٰاتِ‌ حَمْلٍ‌ فَأَنْفِقُوا عَلَيْهِنَّ‌ حَتّىٰ يَضَعْنَ‌ حَمْلَهُنَّ‌»</w:t>
      </w:r>
      <w:r>
        <w:rPr>
          <w:rFonts w:cs="Abz-2 (Badr)"/>
          <w:color w:val="000000" w:themeColor="text1"/>
          <w:sz w:val="28"/>
          <w:szCs w:val="28"/>
          <w:vertAlign w:val="superscript"/>
          <w:rtl/>
          <w:lang w:bidi="ar"/>
        </w:rPr>
        <w:footnoteReference w:id="3"/>
      </w:r>
      <w:r>
        <w:rPr>
          <w:rFonts w:cs="Abz-2 (Badr)" w:hint="cs"/>
          <w:color w:val="0070C0"/>
          <w:sz w:val="28"/>
          <w:szCs w:val="28"/>
          <w:rtl/>
          <w:lang w:bidi="ar"/>
        </w:rPr>
        <w:t xml:space="preserve"> والاكتفاء بالظنّ‌ لعدم الطريق إلى العلم.</w:t>
      </w:r>
    </w:p>
    <w:p w14:paraId="5E634B48" w14:textId="77777777" w:rsidR="000A5A5D" w:rsidRDefault="000A5A5D" w:rsidP="000A5A5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وللعامّة قول بعدم الوجوب.»</w:t>
      </w:r>
      <w:r>
        <w:rPr>
          <w:rStyle w:val="FootnoteReference"/>
          <w:rFonts w:cs="Abz-2 (Badr)"/>
          <w:color w:val="000000" w:themeColor="text1"/>
          <w:sz w:val="28"/>
          <w:szCs w:val="28"/>
          <w:rtl/>
          <w:lang w:bidi="ar"/>
        </w:rPr>
        <w:footnoteReference w:id="4"/>
      </w:r>
    </w:p>
    <w:p w14:paraId="224BEA0A"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اصل اين مسأله همان گونه که در کلام کاشف اللثام گذشت، در کلمات عامه مطرح شده است.</w:t>
      </w:r>
    </w:p>
    <w:p w14:paraId="555E5627"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0000" w:themeColor="text1"/>
          <w:sz w:val="28"/>
          <w:szCs w:val="28"/>
          <w:rtl/>
          <w:lang w:bidi="fa-IR"/>
        </w:rPr>
        <w:t>ماوردی در اين خصوص می</w:t>
      </w:r>
      <w:r>
        <w:rPr>
          <w:rFonts w:cs="Abz-2 (Badr)" w:hint="cs"/>
          <w:color w:val="000000" w:themeColor="text1"/>
          <w:sz w:val="28"/>
          <w:szCs w:val="28"/>
          <w:rtl/>
          <w:lang w:bidi="fa-IR"/>
        </w:rPr>
        <w:softHyphen/>
        <w:t xml:space="preserve">گويد: </w:t>
      </w:r>
      <w:r>
        <w:rPr>
          <w:rFonts w:cs="Abz-2 (Badr)" w:hint="cs"/>
          <w:color w:val="0070C0"/>
          <w:sz w:val="28"/>
          <w:szCs w:val="28"/>
          <w:rtl/>
          <w:lang w:bidi="fa-IR"/>
        </w:rPr>
        <w:t>«</w:t>
      </w:r>
      <w:r>
        <w:rPr>
          <w:rFonts w:cs="Abz-2 (Badr)" w:hint="cs"/>
          <w:color w:val="0070C0"/>
          <w:sz w:val="28"/>
          <w:szCs w:val="28"/>
          <w:rtl/>
        </w:rPr>
        <w:t>اعلم أنّ الأحكام المتعلّقة بالحمل تنقسم ثلاثة أقسام:</w:t>
      </w:r>
    </w:p>
    <w:p w14:paraId="1F1BEBD0"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أحدها: ما يعمل فيه على اليقين بالولادة ولا يعمل فيه على غلبة الظنّ قبل الوضع؛ وذلك الميراث والوصيّة له أو به، فإذا بانت لما رأت وغلب وجوده في الظنّ، كان حكم الميراث والوصيّة موقوفاً على أمره بعد وضعه.</w:t>
      </w:r>
    </w:p>
    <w:p w14:paraId="0D3255A5" w14:textId="77777777" w:rsidR="000A5A5D" w:rsidRDefault="000A5A5D" w:rsidP="000A5A5D">
      <w:pPr>
        <w:widowControl w:val="0"/>
        <w:bidi/>
        <w:spacing w:after="0"/>
        <w:ind w:firstLine="284"/>
        <w:jc w:val="both"/>
        <w:rPr>
          <w:rFonts w:cs="Abz-2 (Badr)" w:hint="cs"/>
          <w:color w:val="0070C0"/>
          <w:sz w:val="28"/>
          <w:szCs w:val="28"/>
          <w:rtl/>
          <w:lang w:bidi="fa-IR"/>
        </w:rPr>
      </w:pPr>
      <w:r>
        <w:rPr>
          <w:rFonts w:cs="Abz-2 (Badr)" w:hint="cs"/>
          <w:color w:val="0070C0"/>
          <w:sz w:val="28"/>
          <w:szCs w:val="28"/>
          <w:rtl/>
        </w:rPr>
        <w:t>والقسم الثاني: ما يعمل فيه على غلبة الظنّ ولا يوقف على اليقين بالولادة، كقوله(ص): «ألا لا توطأ حامل حتّى تضع»</w:t>
      </w:r>
      <w:r>
        <w:rPr>
          <w:rStyle w:val="FootnoteReference"/>
          <w:rFonts w:cs="Abz-2 (Badr)"/>
          <w:color w:val="000000" w:themeColor="text1"/>
          <w:sz w:val="28"/>
          <w:szCs w:val="28"/>
          <w:rtl/>
          <w:lang w:bidi="ar"/>
        </w:rPr>
        <w:footnoteReference w:id="5"/>
      </w:r>
      <w:r>
        <w:rPr>
          <w:rFonts w:cs="Abz-2 (Badr)" w:hint="cs"/>
          <w:color w:val="0070C0"/>
          <w:sz w:val="28"/>
          <w:szCs w:val="28"/>
          <w:rtl/>
        </w:rPr>
        <w:t>، وکقوله(ص): في إبل الدية: «منها أربعون خِلْفةً</w:t>
      </w:r>
      <w:r>
        <w:rPr>
          <w:rStyle w:val="FootnoteReference"/>
          <w:rFonts w:cs="Abz-2 (Badr)"/>
          <w:color w:val="000000" w:themeColor="text1"/>
          <w:sz w:val="28"/>
          <w:szCs w:val="28"/>
          <w:rtl/>
          <w:lang w:bidi="ar"/>
        </w:rPr>
        <w:footnoteReference w:id="6"/>
      </w:r>
      <w:r>
        <w:rPr>
          <w:rFonts w:cs="Abz-2 (Badr)" w:hint="cs"/>
          <w:color w:val="0070C0"/>
          <w:sz w:val="28"/>
          <w:szCs w:val="28"/>
          <w:rtl/>
        </w:rPr>
        <w:t xml:space="preserve"> في بطونها أولادها</w:t>
      </w:r>
      <w:r>
        <w:rPr>
          <w:rFonts w:cs="Abz-2 (Badr)" w:hint="cs"/>
          <w:color w:val="0070C0"/>
          <w:sz w:val="28"/>
          <w:szCs w:val="28"/>
          <w:rtl/>
          <w:lang w:bidi="fa-IR"/>
        </w:rPr>
        <w:t>»</w:t>
      </w:r>
      <w:r>
        <w:rPr>
          <w:rStyle w:val="FootnoteReference"/>
          <w:rFonts w:cs="Abz-2 (Badr)"/>
          <w:color w:val="000000" w:themeColor="text1"/>
          <w:sz w:val="28"/>
          <w:szCs w:val="28"/>
          <w:rtl/>
          <w:lang w:bidi="ar"/>
        </w:rPr>
        <w:footnoteReference w:id="7"/>
      </w:r>
      <w:r>
        <w:rPr>
          <w:rFonts w:cs="Abz-2 (Badr)" w:hint="cs"/>
          <w:color w:val="0070C0"/>
          <w:sz w:val="28"/>
          <w:szCs w:val="28"/>
          <w:rtl/>
          <w:lang w:bidi="fa-IR"/>
        </w:rPr>
        <w:t>.</w:t>
      </w:r>
    </w:p>
    <w:p w14:paraId="5F0C4E91"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والقسم الثالث: ما اختلف قول الشافعي فيه، هل يعمل فيه على اليقين أو على غلبة الظّنّ؟ على قولين وهو نفقة الحامل في عدّتها.</w:t>
      </w:r>
    </w:p>
    <w:p w14:paraId="762EF048"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أحد القولين: أنّ العمل فيها على اليقين وأن لا يدفع النفقة إليها إلا بعد الولادة، كالميراث والوصيّة، لجواز أن يكون ما ظنّ بها من الحمل غلطاً أو ريحاً فانفشّ ولا تستحقّ به نفقة، ولا يجوز أن يبتدئ إيجاب حقّ بشكّ.</w:t>
      </w:r>
    </w:p>
    <w:p w14:paraId="01C4F1AC"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والقول الثاني: وهو اختيار المُزني وأكثر الصحابة ـ وهو الأظهر ـ أنّ العمل فيه على غلبة الظنّ.</w:t>
      </w:r>
    </w:p>
    <w:p w14:paraId="7B77FC2B"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lastRenderedPageBreak/>
        <w:t>فإذا قال أربعة من نساء ثقات من القوابل إنّ بها حملاً، حكمنا لها بالنفقة، وإن جاز خلافه في الباطن، كما قلنا في تحريم الوطء والردّ بعيبه في البيع، ولأنّ الله تعالى أوجب لها النفقة في مدّة الحمل.</w:t>
      </w:r>
    </w:p>
    <w:p w14:paraId="4511EFAA"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والفرق بين النفقة حيث عمل فيها على غلبة الظنّ وبين الميراث والوصيّة حيث عمل فيهما على اليقين أنّ النفقة تستحقّ بالحمل حيّاً وميّتاً فجاز أن يحكم به قبل الولادة، والميراث والوصيّة متعلّقان بحياة، فلم يتعلّق إلا بعد الولادة.</w:t>
      </w:r>
    </w:p>
    <w:p w14:paraId="5C2428D8"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فإذا قيل بالأوّل، إنّه لا يعمل بالنفقة على اليقين وقف أمر الحامل حتّى تضع، فإذا وضعت حيّاً أو ميّتاً تامّاً أو ناقصاً، أُعطيت نفقة ما مضى لها إلى أن وضعت، ولا تعطى النفقة في مدّة نفاسها، لأنّها تحلّ فيه لعقد الأزواج.</w:t>
      </w:r>
    </w:p>
    <w:p w14:paraId="723FC95F" w14:textId="77777777" w:rsidR="000A5A5D" w:rsidRDefault="000A5A5D" w:rsidP="000A5A5D">
      <w:pPr>
        <w:widowControl w:val="0"/>
        <w:bidi/>
        <w:spacing w:after="0"/>
        <w:ind w:firstLine="284"/>
        <w:jc w:val="both"/>
        <w:rPr>
          <w:rFonts w:cs="Abz-2 (Badr)" w:hint="cs"/>
          <w:color w:val="0070C0"/>
          <w:sz w:val="28"/>
          <w:szCs w:val="28"/>
          <w:rtl/>
        </w:rPr>
      </w:pPr>
      <w:r>
        <w:rPr>
          <w:rFonts w:cs="Abz-2 (Badr)" w:hint="cs"/>
          <w:color w:val="0070C0"/>
          <w:sz w:val="28"/>
          <w:szCs w:val="28"/>
          <w:rtl/>
        </w:rPr>
        <w:t>وإذا قيل إنّه يعمل فيه على غلبة الظنّ، أُعطيت نفقة يوم بيوم، فإن ولدت لمدّة أربع سنين من وقت الطلاق، تحقّق استحقاقها لما أحدث، وإن انفشّ ما بها أو ولدت لأربع سنين فصاعداً، علم أنّها لم تستحقّ ما أحدث، فيسترجع جميعه إن كان الطلاق بائناً، وإن كان رجعيّاً استرجع ما زاد على نفقة ثلاثة أقراء.»</w:t>
      </w:r>
      <w:r>
        <w:rPr>
          <w:rStyle w:val="FootnoteReference"/>
          <w:rFonts w:cs="Abz-2 (Badr)"/>
          <w:color w:val="000000" w:themeColor="text1"/>
          <w:sz w:val="28"/>
          <w:szCs w:val="28"/>
          <w:rtl/>
          <w:lang w:bidi="ar"/>
        </w:rPr>
        <w:footnoteReference w:id="8"/>
      </w:r>
    </w:p>
    <w:p w14:paraId="141D38BA" w14:textId="77777777" w:rsidR="000A5A5D" w:rsidRDefault="000A5A5D" w:rsidP="000A5A5D">
      <w:pPr>
        <w:widowControl w:val="0"/>
        <w:bidi/>
        <w:spacing w:after="0"/>
        <w:ind w:firstLine="284"/>
        <w:jc w:val="both"/>
        <w:rPr>
          <w:rFonts w:cs="Abz-2 (Badr)"/>
          <w:color w:val="0070C0"/>
          <w:sz w:val="28"/>
          <w:szCs w:val="28"/>
          <w:lang w:bidi="ar"/>
        </w:rPr>
      </w:pPr>
      <w:r>
        <w:rPr>
          <w:rFonts w:cs="Abz-2 (Badr)" w:hint="cs"/>
          <w:color w:val="000000" w:themeColor="text1"/>
          <w:sz w:val="28"/>
          <w:szCs w:val="28"/>
          <w:rtl/>
          <w:lang w:bidi="fa-IR"/>
        </w:rPr>
        <w:t>شيخ نيز در اين مقام فرموده است: «</w:t>
      </w:r>
      <w:r>
        <w:rPr>
          <w:rFonts w:cs="Abz-2 (Badr)" w:hint="cs"/>
          <w:color w:val="0070C0"/>
          <w:sz w:val="28"/>
          <w:szCs w:val="28"/>
          <w:rtl/>
          <w:lang w:bidi="ar"/>
        </w:rPr>
        <w:t>هل تحلّ لها يوم بيوم أو تصبر حتّى تضع؟ قيل: فيه قولان، أحدهما: يدفع إليها نفقة يوم بيوم ـ وهو الأقوى عندي ـ والثاني: لا يدفع إليها شيء حتّى تضع.</w:t>
      </w:r>
    </w:p>
    <w:p w14:paraId="4015EABF" w14:textId="77777777" w:rsidR="000A5A5D" w:rsidRDefault="000A5A5D" w:rsidP="000A5A5D">
      <w:pPr>
        <w:widowControl w:val="0"/>
        <w:bidi/>
        <w:spacing w:after="0"/>
        <w:ind w:firstLine="284"/>
        <w:jc w:val="both"/>
        <w:rPr>
          <w:rFonts w:cs="Abz-2 (Badr)" w:hint="cs"/>
          <w:color w:val="0070C0"/>
          <w:sz w:val="28"/>
          <w:szCs w:val="28"/>
          <w:rtl/>
          <w:lang w:bidi="fa-IR"/>
        </w:rPr>
      </w:pPr>
      <w:r>
        <w:rPr>
          <w:rFonts w:cs="Abz-2 (Badr)" w:hint="cs"/>
          <w:color w:val="0070C0"/>
          <w:sz w:val="28"/>
          <w:szCs w:val="28"/>
          <w:rtl/>
          <w:lang w:bidi="ar"/>
        </w:rPr>
        <w:t>فمن قال لا تعطى شيئاً قال: يراعى، فإن بانت حائلاً فقد أصبت في المنع، وإن بانت حاملاً أُعطيت النفقة لما مضى.</w:t>
      </w:r>
    </w:p>
    <w:p w14:paraId="23DB7D8D" w14:textId="77777777" w:rsidR="000A5A5D" w:rsidRDefault="000A5A5D" w:rsidP="000A5A5D">
      <w:pPr>
        <w:widowControl w:val="0"/>
        <w:bidi/>
        <w:spacing w:after="0"/>
        <w:ind w:firstLine="284"/>
        <w:jc w:val="both"/>
        <w:rPr>
          <w:rFonts w:cs="Abz-2 (Badr)"/>
          <w:color w:val="000000" w:themeColor="text1"/>
          <w:sz w:val="28"/>
          <w:szCs w:val="28"/>
          <w:lang w:bidi="fa-IR"/>
        </w:rPr>
      </w:pPr>
      <w:r>
        <w:rPr>
          <w:rFonts w:cs="Abz-2 (Badr)" w:hint="cs"/>
          <w:color w:val="0070C0"/>
          <w:sz w:val="28"/>
          <w:szCs w:val="28"/>
          <w:rtl/>
          <w:lang w:bidi="ar"/>
        </w:rPr>
        <w:t>ومن قال يدفع إليها يوماً بيوم على ما قلناه، قال: أُريت القوابل، فإذا شهدن بأنّها حامل، أطلق النفقة من حين الطلاق إلى حين الشهادة، ثمّ لها يوماً بيوم حتّى يتبيّن أمرها، فإن بانت حاملاً فقد استوفت حقّها، وإن بانت حائلاً فعليها ردّ ما أخذت، سواء قيل النفقة للحمل أو لها لأجل الحمل.»</w:t>
      </w:r>
      <w:r>
        <w:rPr>
          <w:rStyle w:val="FootnoteReference"/>
          <w:rFonts w:cs="Abz-2 (Badr)"/>
          <w:color w:val="000000" w:themeColor="text1"/>
          <w:sz w:val="28"/>
          <w:szCs w:val="28"/>
          <w:rtl/>
          <w:lang w:bidi="ar"/>
        </w:rPr>
        <w:footnoteReference w:id="9"/>
      </w:r>
    </w:p>
    <w:p w14:paraId="366C4DBC" w14:textId="77777777" w:rsidR="000A5A5D" w:rsidRDefault="000A5A5D" w:rsidP="000A5A5D">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علامه نيز در موضعی از تحرير وجوب دفع نفقه را منوط بر شهادت چهار قابله بر وجود حمل دانسته است</w:t>
      </w:r>
      <w:r>
        <w:rPr>
          <w:rStyle w:val="FootnoteReference"/>
          <w:rFonts w:cs="Abz-2 (Badr)"/>
          <w:color w:val="000000" w:themeColor="text1"/>
          <w:sz w:val="28"/>
          <w:szCs w:val="28"/>
          <w:rtl/>
          <w:lang w:bidi="ar"/>
        </w:rPr>
        <w:footnoteReference w:id="10"/>
      </w:r>
      <w:r>
        <w:rPr>
          <w:rFonts w:cs="Abz-2 (Badr)" w:hint="cs"/>
          <w:color w:val="000000" w:themeColor="text1"/>
          <w:sz w:val="28"/>
          <w:szCs w:val="28"/>
          <w:rtl/>
          <w:lang w:bidi="fa-IR"/>
        </w:rPr>
        <w:t xml:space="preserve"> هرچند در موضع دوم آن را متوقف بر وجود امارات حمل کرده است</w:t>
      </w:r>
      <w:r>
        <w:rPr>
          <w:rStyle w:val="FootnoteReference"/>
          <w:rFonts w:cs="Abz-2 (Badr)"/>
          <w:color w:val="000000" w:themeColor="text1"/>
          <w:sz w:val="28"/>
          <w:szCs w:val="28"/>
          <w:rtl/>
          <w:lang w:bidi="ar"/>
        </w:rPr>
        <w:footnoteReference w:id="11"/>
      </w:r>
      <w:r>
        <w:rPr>
          <w:rFonts w:cs="Abz-2 (Badr)" w:hint="cs"/>
          <w:color w:val="000000" w:themeColor="text1"/>
          <w:sz w:val="28"/>
          <w:szCs w:val="28"/>
          <w:rtl/>
          <w:lang w:bidi="fa-IR"/>
        </w:rPr>
        <w:t>.</w:t>
      </w:r>
    </w:p>
    <w:p w14:paraId="73EEF205" w14:textId="77777777" w:rsidR="000A5A5D" w:rsidRDefault="000A5A5D" w:rsidP="000A5A5D">
      <w:pPr>
        <w:widowControl w:val="0"/>
        <w:bidi/>
        <w:spacing w:after="0"/>
        <w:ind w:firstLine="284"/>
        <w:jc w:val="both"/>
        <w:rPr>
          <w:rFonts w:cs="Abz-2 (Badr)" w:hint="cs"/>
          <w:color w:val="0070C0"/>
          <w:sz w:val="28"/>
          <w:szCs w:val="28"/>
          <w:rtl/>
          <w:lang w:bidi="ar"/>
        </w:rPr>
      </w:pPr>
      <w:r>
        <w:rPr>
          <w:rFonts w:cs="Abz-2 (Badr)" w:hint="cs"/>
          <w:color w:val="000000" w:themeColor="text1"/>
          <w:sz w:val="28"/>
          <w:szCs w:val="28"/>
          <w:rtl/>
          <w:lang w:bidi="fa-IR"/>
        </w:rPr>
        <w:lastRenderedPageBreak/>
        <w:t xml:space="preserve">شهيد ثانی نيز فرموده است: </w:t>
      </w:r>
      <w:r>
        <w:rPr>
          <w:rFonts w:cs="Abz-2 (Badr)" w:hint="cs"/>
          <w:color w:val="0070C0"/>
          <w:sz w:val="28"/>
          <w:szCs w:val="28"/>
          <w:rtl/>
          <w:lang w:bidi="fa-IR"/>
        </w:rPr>
        <w:t>«</w:t>
      </w:r>
      <w:r>
        <w:rPr>
          <w:rFonts w:cs="Abz-2 (Badr)" w:hint="cs"/>
          <w:color w:val="0070C0"/>
          <w:sz w:val="28"/>
          <w:szCs w:val="28"/>
          <w:rtl/>
          <w:lang w:bidi="ar"/>
        </w:rPr>
        <w:t>لو ظهر بها أمارات الحمل بعد الطلاق، فعلى الزوج الإنفاق عليها إلى أن تضع أو تبيّن الحال.»</w:t>
      </w:r>
      <w:r>
        <w:rPr>
          <w:rStyle w:val="FootnoteReference"/>
          <w:rFonts w:cs="Abz-2 (Badr)"/>
          <w:color w:val="000000" w:themeColor="text1"/>
          <w:sz w:val="28"/>
          <w:szCs w:val="28"/>
          <w:rtl/>
          <w:lang w:bidi="ar"/>
        </w:rPr>
        <w:footnoteReference w:id="12"/>
      </w:r>
    </w:p>
    <w:p w14:paraId="30C7AA05" w14:textId="77777777" w:rsidR="000A5A5D" w:rsidRDefault="000A5A5D" w:rsidP="000A5A5D">
      <w:pPr>
        <w:widowControl w:val="0"/>
        <w:bidi/>
        <w:spacing w:after="0"/>
        <w:ind w:firstLine="284"/>
        <w:jc w:val="both"/>
        <w:rPr>
          <w:rFonts w:cs="Abz-2 (Badr)" w:hint="cs"/>
          <w:color w:val="0070C0"/>
          <w:sz w:val="28"/>
          <w:szCs w:val="28"/>
          <w:rtl/>
          <w:lang w:bidi="ar"/>
        </w:rPr>
      </w:pPr>
      <w:bookmarkStart w:id="4" w:name="_Hlk220068917"/>
      <w:r>
        <w:rPr>
          <w:rFonts w:cs="Abz-2 (Badr)" w:hint="cs"/>
          <w:color w:val="000000" w:themeColor="text1"/>
          <w:sz w:val="28"/>
          <w:szCs w:val="28"/>
          <w:rtl/>
          <w:lang w:bidi="ar"/>
        </w:rPr>
        <w:t>هرچند در جايی ديگر بعد از ذکر شرطيت شهادت چهار قابله در وجوب دفع نفقه فرموده</w:t>
      </w:r>
      <w:r>
        <w:rPr>
          <w:rFonts w:cs="Abz-2 (Badr)" w:hint="cs"/>
          <w:color w:val="000000" w:themeColor="text1"/>
          <w:sz w:val="28"/>
          <w:szCs w:val="28"/>
          <w:rtl/>
          <w:lang w:bidi="ar"/>
        </w:rPr>
        <w:softHyphen/>
        <w:t xml:space="preserve">اند: </w:t>
      </w:r>
      <w:r>
        <w:rPr>
          <w:rFonts w:cs="Abz-2 (Badr)" w:hint="cs"/>
          <w:color w:val="0070C0"/>
          <w:sz w:val="28"/>
          <w:szCs w:val="28"/>
          <w:rtl/>
          <w:lang w:bidi="ar"/>
        </w:rPr>
        <w:t>«</w:t>
      </w:r>
      <w:r>
        <w:rPr>
          <w:rFonts w:cs="Abz-2 (Badr)" w:hint="cs"/>
          <w:color w:val="0070C0"/>
          <w:sz w:val="28"/>
          <w:szCs w:val="28"/>
          <w:rtl/>
        </w:rPr>
        <w:t xml:space="preserve">لعلّه أجود، لأنّ وجوب الإنفاق على الزوجة انقطع بالطلاق البائن، ووجوبه عليها مشروط بالحمل، والأصل عدمه إلى أن يتحقّق. وحكم الزوجة به في الابتداء ظنّي، والظنّ قد يكذب. ولأنه تعالى قال: </w:t>
      </w:r>
      <w:r>
        <w:rPr>
          <w:rFonts w:cs="QuranTaha" w:hint="cs"/>
          <w:color w:val="BF8F00" w:themeColor="accent4" w:themeShade="BF"/>
          <w:sz w:val="26"/>
          <w:szCs w:val="26"/>
          <w:rtl/>
          <w:lang w:bidi="ar"/>
        </w:rPr>
        <w:t>«وَإِنْ‌ كُنَّ‌ أُولٰاتِ‌ حَمْلٍ‌ فَأَنْفِقُوا عَلَيْهِنَّ‌ حَتّىٰ يَضَعْنَ‌ حَمْلَهُنَّ‌»</w:t>
      </w:r>
      <w:r>
        <w:rPr>
          <w:rFonts w:cs="Abz-2 (Badr)"/>
          <w:color w:val="000000" w:themeColor="text1"/>
          <w:sz w:val="28"/>
          <w:szCs w:val="28"/>
          <w:vertAlign w:val="superscript"/>
          <w:rtl/>
          <w:lang w:bidi="ar"/>
        </w:rPr>
        <w:footnoteReference w:id="13"/>
      </w:r>
      <w:r>
        <w:rPr>
          <w:rFonts w:cs="Abz-2 (Badr)" w:hint="cs"/>
          <w:color w:val="0070C0"/>
          <w:sz w:val="28"/>
          <w:szCs w:val="28"/>
          <w:rtl/>
          <w:lang w:bidi="ar"/>
        </w:rPr>
        <w:t xml:space="preserve">، </w:t>
      </w:r>
      <w:r>
        <w:rPr>
          <w:rFonts w:cs="Abz-2 (Badr)" w:hint="cs"/>
          <w:color w:val="0070C0"/>
          <w:sz w:val="28"/>
          <w:szCs w:val="28"/>
          <w:rtl/>
        </w:rPr>
        <w:t>شرط في الإنفاق عليهنّ كونهنّ أولات حمل، وهذا الوصف لا يتحقّق بمجرّد الدعوى.»</w:t>
      </w:r>
      <w:r>
        <w:rPr>
          <w:rStyle w:val="FootnoteReference"/>
          <w:rFonts w:cs="Abz-2 (Badr)"/>
          <w:color w:val="000000" w:themeColor="text1"/>
          <w:sz w:val="28"/>
          <w:szCs w:val="28"/>
          <w:rtl/>
          <w:lang w:bidi="ar"/>
        </w:rPr>
        <w:footnoteReference w:id="14"/>
      </w:r>
      <w:bookmarkEnd w:id="4"/>
    </w:p>
    <w:p w14:paraId="76D2538F" w14:textId="77777777" w:rsidR="000A5A5D" w:rsidRDefault="000A5A5D" w:rsidP="000A5A5D">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ادامه بحث را جلسه آينده پی گيری خواهيم کرد ان شاء الله.</w:t>
      </w:r>
      <w:bookmarkEnd w:id="1"/>
      <w:bookmarkEnd w:id="2"/>
    </w:p>
    <w:p w14:paraId="2AD04477" w14:textId="7D63A4A4" w:rsidR="00B706A3" w:rsidRPr="000A5A5D" w:rsidRDefault="00B706A3" w:rsidP="000A5A5D">
      <w:pPr>
        <w:rPr>
          <w:rtl/>
        </w:rPr>
      </w:pPr>
    </w:p>
    <w:sectPr w:rsidR="00B706A3" w:rsidRPr="000A5A5D" w:rsidSect="005815B4">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00FF3" w14:textId="77777777" w:rsidR="008225F2" w:rsidRDefault="008225F2" w:rsidP="00F71127">
      <w:pPr>
        <w:spacing w:after="0" w:line="240" w:lineRule="auto"/>
      </w:pPr>
      <w:r>
        <w:separator/>
      </w:r>
    </w:p>
  </w:endnote>
  <w:endnote w:type="continuationSeparator" w:id="0">
    <w:p w14:paraId="64E56205" w14:textId="77777777" w:rsidR="008225F2" w:rsidRDefault="008225F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960D2" w14:textId="77777777" w:rsidR="008225F2" w:rsidRDefault="008225F2" w:rsidP="00EE25C0">
      <w:pPr>
        <w:bidi/>
        <w:spacing w:after="0" w:line="240" w:lineRule="auto"/>
      </w:pPr>
      <w:r>
        <w:separator/>
      </w:r>
    </w:p>
  </w:footnote>
  <w:footnote w:type="continuationSeparator" w:id="0">
    <w:p w14:paraId="7FA59034" w14:textId="77777777" w:rsidR="008225F2" w:rsidRDefault="008225F2" w:rsidP="00F71127">
      <w:pPr>
        <w:bidi/>
        <w:spacing w:after="0" w:line="240" w:lineRule="auto"/>
      </w:pPr>
      <w:r>
        <w:continuationSeparator/>
      </w:r>
    </w:p>
  </w:footnote>
  <w:footnote w:id="1">
    <w:p w14:paraId="7DDC9BAB"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شرائع الإسلام</w:t>
      </w:r>
      <w:r>
        <w:rPr>
          <w:rFonts w:cs="Abz-2 (Badr)" w:hint="cs"/>
          <w:rtl/>
          <w:lang w:bidi="fa-IR"/>
        </w:rPr>
        <w:t>،ج2،ص295.</w:t>
      </w:r>
    </w:p>
  </w:footnote>
  <w:footnote w:id="2">
    <w:p w14:paraId="134CDFBE"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قواعد الأحکام</w:t>
      </w:r>
      <w:r>
        <w:rPr>
          <w:rFonts w:cs="Abz-2 (Badr)" w:hint="cs"/>
          <w:rtl/>
          <w:lang w:bidi="fa-IR"/>
        </w:rPr>
        <w:t>،ج3،ص110.</w:t>
      </w:r>
    </w:p>
  </w:footnote>
  <w:footnote w:id="3">
    <w:p w14:paraId="07302FCD" w14:textId="77777777" w:rsidR="000A5A5D" w:rsidRDefault="000A5A5D" w:rsidP="000A5A5D">
      <w:pPr>
        <w:pStyle w:val="FootnoteText"/>
        <w:bidi/>
        <w:rPr>
          <w:rFonts w:cs="Abz-2 (Badr)" w:hint="cs"/>
          <w:rtl/>
        </w:rPr>
      </w:pPr>
      <w:r>
        <w:rPr>
          <w:rStyle w:val="FootnoteReference"/>
          <w:rFonts w:cs="Abz-2 (Badr)"/>
        </w:rPr>
        <w:footnoteRef/>
      </w:r>
      <w:r>
        <w:rPr>
          <w:rFonts w:cs="Abz-2 (Badr)" w:hint="cs"/>
          <w:rtl/>
          <w:lang w:bidi="fa-IR"/>
        </w:rPr>
        <w:t xml:space="preserve"> </w:t>
      </w:r>
      <w:r>
        <w:rPr>
          <w:rFonts w:cs="Abz-2 (Badr)" w:hint="cs"/>
          <w:rtl/>
          <w:lang w:bidi="fa-IR"/>
        </w:rPr>
        <w:t xml:space="preserve">ـ </w:t>
      </w:r>
      <w:r>
        <w:rPr>
          <w:rFonts w:cs="Abz-2 (Badr)" w:hint="cs"/>
          <w:rtl/>
          <w:lang w:bidi="fa-IR"/>
        </w:rPr>
        <w:t xml:space="preserve">الطلاق(65):٦. </w:t>
      </w:r>
    </w:p>
  </w:footnote>
  <w:footnote w:id="4">
    <w:p w14:paraId="5EA692A7"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کشف اللثام</w:t>
      </w:r>
      <w:r>
        <w:rPr>
          <w:rFonts w:cs="Abz-2 (Badr)" w:hint="cs"/>
          <w:rtl/>
          <w:lang w:bidi="fa-IR"/>
        </w:rPr>
        <w:t>،ج7،ص582.</w:t>
      </w:r>
    </w:p>
  </w:footnote>
  <w:footnote w:id="5">
    <w:p w14:paraId="3754FFF0"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راجع: مسند الإمام أحمد بن حنبل،</w:t>
      </w:r>
      <w:r>
        <w:rPr>
          <w:rFonts w:cs="Abz-2 (Badr)" w:hint="cs"/>
          <w:rtl/>
          <w:lang w:bidi="fa-IR"/>
        </w:rPr>
        <w:t>ج18،ص140،ح11596.</w:t>
      </w:r>
    </w:p>
  </w:footnote>
  <w:footnote w:id="6">
    <w:p w14:paraId="52EB69E9"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قال في کتاب العين،ج4،ص268: «الخلفة من النوق: الحامل»</w:t>
      </w:r>
      <w:r>
        <w:rPr>
          <w:rFonts w:cs="Abz-2 (Badr)" w:hint="cs"/>
          <w:rtl/>
          <w:lang w:bidi="fa-IR"/>
        </w:rPr>
        <w:t>.</w:t>
      </w:r>
    </w:p>
  </w:footnote>
  <w:footnote w:id="7">
    <w:p w14:paraId="2C4AF3AD"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راجع: مسند الإمام أحمد بن حنبل،</w:t>
      </w:r>
      <w:r>
        <w:rPr>
          <w:rFonts w:cs="Abz-2 (Badr)" w:hint="cs"/>
          <w:rtl/>
          <w:lang w:bidi="fa-IR"/>
        </w:rPr>
        <w:t>ج10،ص67،ح5805 ـ سنن ابن ماجه،ج4،ص221 و 222،ح2628.</w:t>
      </w:r>
    </w:p>
  </w:footnote>
  <w:footnote w:id="8">
    <w:p w14:paraId="5272FA21"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الحاوي الکبير</w:t>
      </w:r>
      <w:r>
        <w:rPr>
          <w:rFonts w:cs="Abz-2 (Badr)" w:hint="cs"/>
          <w:rtl/>
          <w:lang w:bidi="fa-IR"/>
        </w:rPr>
        <w:t>،ج11،ص467 و 468.</w:t>
      </w:r>
    </w:p>
  </w:footnote>
  <w:footnote w:id="9">
    <w:p w14:paraId="1FF2AC5E"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المبسوط</w:t>
      </w:r>
      <w:r>
        <w:rPr>
          <w:rFonts w:cs="Abz-2 (Badr)" w:hint="cs"/>
          <w:rtl/>
          <w:lang w:bidi="fa-IR"/>
        </w:rPr>
        <w:t>،ج6،ص25.</w:t>
      </w:r>
    </w:p>
  </w:footnote>
  <w:footnote w:id="10">
    <w:p w14:paraId="3BCB4699"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تحرير الأحکام</w:t>
      </w:r>
      <w:r>
        <w:rPr>
          <w:rFonts w:cs="Abz-2 (Badr)" w:hint="cs"/>
          <w:rtl/>
          <w:lang w:bidi="fa-IR"/>
        </w:rPr>
        <w:t>،ج4،ص26، مسألة 12.</w:t>
      </w:r>
    </w:p>
  </w:footnote>
  <w:footnote w:id="11">
    <w:p w14:paraId="00603B1F"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همان،ص27، مسألة 14</w:t>
      </w:r>
      <w:r>
        <w:rPr>
          <w:rFonts w:cs="Abz-2 (Badr)" w:hint="cs"/>
          <w:rtl/>
          <w:lang w:bidi="fa-IR"/>
        </w:rPr>
        <w:t>.</w:t>
      </w:r>
    </w:p>
  </w:footnote>
  <w:footnote w:id="12">
    <w:p w14:paraId="06C8B815"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الأفهام،ج8،ص449.</w:t>
      </w:r>
    </w:p>
  </w:footnote>
  <w:footnote w:id="13">
    <w:p w14:paraId="5D4AAA5C" w14:textId="77777777" w:rsidR="000A5A5D" w:rsidRDefault="000A5A5D" w:rsidP="000A5A5D">
      <w:pPr>
        <w:pStyle w:val="FootnoteText"/>
        <w:bidi/>
        <w:rPr>
          <w:rFonts w:cs="Abz-2 (Badr)" w:hint="cs"/>
          <w:rtl/>
        </w:rPr>
      </w:pPr>
      <w:r>
        <w:rPr>
          <w:rStyle w:val="FootnoteReference"/>
          <w:rFonts w:cs="Abz-2 (Badr)"/>
        </w:rPr>
        <w:footnoteRef/>
      </w:r>
      <w:r>
        <w:rPr>
          <w:rFonts w:cs="Abz-2 (Badr)" w:hint="cs"/>
          <w:rtl/>
          <w:lang w:bidi="fa-IR"/>
        </w:rPr>
        <w:t xml:space="preserve"> </w:t>
      </w:r>
      <w:r>
        <w:rPr>
          <w:rFonts w:cs="Abz-2 (Badr)" w:hint="cs"/>
          <w:rtl/>
          <w:lang w:bidi="fa-IR"/>
        </w:rPr>
        <w:t xml:space="preserve">ـ </w:t>
      </w:r>
      <w:r>
        <w:rPr>
          <w:rFonts w:cs="Abz-2 (Badr)" w:hint="cs"/>
          <w:rtl/>
          <w:lang w:bidi="fa-IR"/>
        </w:rPr>
        <w:t xml:space="preserve">الطلاق(65):٦. </w:t>
      </w:r>
    </w:p>
  </w:footnote>
  <w:footnote w:id="14">
    <w:p w14:paraId="14768480" w14:textId="77777777" w:rsidR="000A5A5D" w:rsidRDefault="000A5A5D" w:rsidP="000A5A5D">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مسالك</w:t>
      </w:r>
      <w:r>
        <w:rPr>
          <w:rFonts w:cs="Abz-2 (Badr)" w:hint="cs"/>
          <w:rtl/>
          <w:lang w:bidi="fa-IR"/>
        </w:rPr>
        <w:t xml:space="preserve"> الأفهام،ج8،ص474.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A36D26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0A5A5D">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A5A5D">
                            <w:rPr>
                              <w:rFonts w:cs="B Mehr" w:hint="cs"/>
                              <w:rtl/>
                              <w:lang w:bidi="fa-IR"/>
                            </w:rPr>
                            <w:t>4</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1497D60F" w14:textId="4A36D266" w:rsidR="001B6D60" w:rsidRDefault="001B6D60" w:rsidP="001B6D60">
                    <w:pPr>
                      <w:bidi/>
                    </w:pPr>
                    <w:r>
                      <w:rPr>
                        <w:rFonts w:cs="B Mehr" w:hint="cs"/>
                        <w:rtl/>
                      </w:rPr>
                      <w:t xml:space="preserve">تاریخ :  </w:t>
                    </w:r>
                    <w:r>
                      <w:rPr>
                        <w:rFonts w:cs="B Mehr" w:hint="cs"/>
                        <w:rtl/>
                        <w:lang w:bidi="fa-IR"/>
                      </w:rPr>
                      <w:t xml:space="preserve"> </w:t>
                    </w:r>
                    <w:r w:rsidR="007C78DA">
                      <w:rPr>
                        <w:rFonts w:cs="B Mehr" w:hint="cs"/>
                        <w:rtl/>
                        <w:lang w:bidi="fa-IR"/>
                      </w:rPr>
                      <w:t xml:space="preserve"> </w:t>
                    </w:r>
                    <w:r w:rsidR="000A5A5D">
                      <w:rPr>
                        <w:rFonts w:cs="B Mehr" w:hint="cs"/>
                        <w:rtl/>
                        <w:lang w:bidi="fa-IR"/>
                      </w:rPr>
                      <w:t>شنبه</w:t>
                    </w:r>
                    <w:r w:rsidR="00C73276">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A5A5D">
                      <w:rPr>
                        <w:rFonts w:cs="B Mehr" w:hint="cs"/>
                        <w:rtl/>
                        <w:lang w:bidi="fa-IR"/>
                      </w:rPr>
                      <w:t>4</w:t>
                    </w:r>
                    <w:r w:rsidR="00C73276">
                      <w:rPr>
                        <w:rFonts w:cs="B Mehr" w:hint="cs"/>
                        <w:rtl/>
                        <w:lang w:bidi="fa-IR"/>
                      </w:rPr>
                      <w:t xml:space="preserve"> بهمن</w:t>
                    </w:r>
                    <w:r w:rsidR="00860A62">
                      <w:rPr>
                        <w:rFonts w:cs="B Mehr" w:hint="cs"/>
                        <w:rtl/>
                        <w:lang w:bidi="fa-IR"/>
                      </w:rPr>
                      <w:t xml:space="preserve"> </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3C0"/>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5A5D"/>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476C"/>
    <w:rsid w:val="000F5BCB"/>
    <w:rsid w:val="000F5D2D"/>
    <w:rsid w:val="000F5F88"/>
    <w:rsid w:val="000F7230"/>
    <w:rsid w:val="000F7456"/>
    <w:rsid w:val="000F765D"/>
    <w:rsid w:val="000F7CC4"/>
    <w:rsid w:val="00100463"/>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0FB3"/>
    <w:rsid w:val="001A1180"/>
    <w:rsid w:val="001A11F6"/>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6D60"/>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0FE9"/>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199"/>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53"/>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29D"/>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1D6"/>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4CB"/>
    <w:rsid w:val="004B66D4"/>
    <w:rsid w:val="004B67F7"/>
    <w:rsid w:val="004B69C8"/>
    <w:rsid w:val="004B6FFA"/>
    <w:rsid w:val="004B709D"/>
    <w:rsid w:val="004B72E9"/>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486"/>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50B"/>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5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0F46"/>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4AEE"/>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E1E"/>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434"/>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4EA6"/>
    <w:rsid w:val="006A5735"/>
    <w:rsid w:val="006A57C0"/>
    <w:rsid w:val="006A595E"/>
    <w:rsid w:val="006A6A17"/>
    <w:rsid w:val="006A728C"/>
    <w:rsid w:val="006A7333"/>
    <w:rsid w:val="006A75EC"/>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2C10"/>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A8E"/>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9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4FDF"/>
    <w:rsid w:val="007853C3"/>
    <w:rsid w:val="007854EE"/>
    <w:rsid w:val="007854F7"/>
    <w:rsid w:val="007869E7"/>
    <w:rsid w:val="00786E73"/>
    <w:rsid w:val="00786EFE"/>
    <w:rsid w:val="00787836"/>
    <w:rsid w:val="007907BF"/>
    <w:rsid w:val="0079140D"/>
    <w:rsid w:val="007920F5"/>
    <w:rsid w:val="0079214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8B7"/>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8DA"/>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A17"/>
    <w:rsid w:val="007E2D9B"/>
    <w:rsid w:val="007E354A"/>
    <w:rsid w:val="007E381F"/>
    <w:rsid w:val="007E5538"/>
    <w:rsid w:val="007E5A3B"/>
    <w:rsid w:val="007E6019"/>
    <w:rsid w:val="007E6F45"/>
    <w:rsid w:val="007E7303"/>
    <w:rsid w:val="007E7386"/>
    <w:rsid w:val="007E73C9"/>
    <w:rsid w:val="007E754F"/>
    <w:rsid w:val="007E76E1"/>
    <w:rsid w:val="007E7AA1"/>
    <w:rsid w:val="007F09FA"/>
    <w:rsid w:val="007F0CFB"/>
    <w:rsid w:val="007F0FD0"/>
    <w:rsid w:val="007F160A"/>
    <w:rsid w:val="007F160C"/>
    <w:rsid w:val="007F1CF6"/>
    <w:rsid w:val="007F1FED"/>
    <w:rsid w:val="007F2019"/>
    <w:rsid w:val="007F217E"/>
    <w:rsid w:val="007F2329"/>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172D9"/>
    <w:rsid w:val="00820CD9"/>
    <w:rsid w:val="008217A7"/>
    <w:rsid w:val="00822037"/>
    <w:rsid w:val="008225F2"/>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2228"/>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0A62"/>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47F4"/>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3D6A"/>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D63"/>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24B2"/>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5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99F"/>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5872"/>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64C"/>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0F8"/>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664"/>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18DB"/>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13B7"/>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7B0"/>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5B2"/>
    <w:rsid w:val="00B61C6F"/>
    <w:rsid w:val="00B625C1"/>
    <w:rsid w:val="00B62A76"/>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600"/>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3BF"/>
    <w:rsid w:val="00B87FC9"/>
    <w:rsid w:val="00B91702"/>
    <w:rsid w:val="00B930E7"/>
    <w:rsid w:val="00B93746"/>
    <w:rsid w:val="00B943C0"/>
    <w:rsid w:val="00B9441F"/>
    <w:rsid w:val="00B94CAC"/>
    <w:rsid w:val="00B95AF0"/>
    <w:rsid w:val="00B96168"/>
    <w:rsid w:val="00B96940"/>
    <w:rsid w:val="00B96D5D"/>
    <w:rsid w:val="00B9749B"/>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49A"/>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87"/>
    <w:rsid w:val="00BD54B7"/>
    <w:rsid w:val="00BD5502"/>
    <w:rsid w:val="00BD58AC"/>
    <w:rsid w:val="00BD610A"/>
    <w:rsid w:val="00BD644D"/>
    <w:rsid w:val="00BD64BC"/>
    <w:rsid w:val="00BD6EF3"/>
    <w:rsid w:val="00BE0CFA"/>
    <w:rsid w:val="00BE25C0"/>
    <w:rsid w:val="00BE266E"/>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276"/>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02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99B"/>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3E3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198"/>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68F4"/>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870A0"/>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97C0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322A"/>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787"/>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741"/>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0C09"/>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4937"/>
    <w:rsid w:val="00FC5780"/>
    <w:rsid w:val="00FC5FD1"/>
    <w:rsid w:val="00FC61EC"/>
    <w:rsid w:val="00FC63C5"/>
    <w:rsid w:val="00FC64C4"/>
    <w:rsid w:val="00FC6F64"/>
    <w:rsid w:val="00FC73DA"/>
    <w:rsid w:val="00FD183E"/>
    <w:rsid w:val="00FD1928"/>
    <w:rsid w:val="00FD217F"/>
    <w:rsid w:val="00FD2944"/>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C42"/>
    <w:rsid w:val="00FE2D69"/>
    <w:rsid w:val="00FE339B"/>
    <w:rsid w:val="00FE3CCD"/>
    <w:rsid w:val="00FE3E51"/>
    <w:rsid w:val="00FE4A36"/>
    <w:rsid w:val="00FE5178"/>
    <w:rsid w:val="00FE5CC2"/>
    <w:rsid w:val="00FE64B4"/>
    <w:rsid w:val="00FE741C"/>
    <w:rsid w:val="00FE7F32"/>
    <w:rsid w:val="00FF0795"/>
    <w:rsid w:val="00FF2AE4"/>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222433">
      <w:bodyDiv w:val="1"/>
      <w:marLeft w:val="0"/>
      <w:marRight w:val="0"/>
      <w:marTop w:val="0"/>
      <w:marBottom w:val="0"/>
      <w:divBdr>
        <w:top w:val="none" w:sz="0" w:space="0" w:color="auto"/>
        <w:left w:val="none" w:sz="0" w:space="0" w:color="auto"/>
        <w:bottom w:val="none" w:sz="0" w:space="0" w:color="auto"/>
        <w:right w:val="none" w:sz="0" w:space="0" w:color="auto"/>
      </w:divBdr>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3906503">
      <w:bodyDiv w:val="1"/>
      <w:marLeft w:val="0"/>
      <w:marRight w:val="0"/>
      <w:marTop w:val="0"/>
      <w:marBottom w:val="0"/>
      <w:divBdr>
        <w:top w:val="none" w:sz="0" w:space="0" w:color="auto"/>
        <w:left w:val="none" w:sz="0" w:space="0" w:color="auto"/>
        <w:bottom w:val="none" w:sz="0" w:space="0" w:color="auto"/>
        <w:right w:val="none" w:sz="0" w:space="0" w:color="auto"/>
      </w:divBdr>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1622">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687805">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5536807">
      <w:bodyDiv w:val="1"/>
      <w:marLeft w:val="0"/>
      <w:marRight w:val="0"/>
      <w:marTop w:val="0"/>
      <w:marBottom w:val="0"/>
      <w:divBdr>
        <w:top w:val="none" w:sz="0" w:space="0" w:color="auto"/>
        <w:left w:val="none" w:sz="0" w:space="0" w:color="auto"/>
        <w:bottom w:val="none" w:sz="0" w:space="0" w:color="auto"/>
        <w:right w:val="none" w:sz="0" w:space="0" w:color="auto"/>
      </w:divBdr>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3254850">
      <w:bodyDiv w:val="1"/>
      <w:marLeft w:val="0"/>
      <w:marRight w:val="0"/>
      <w:marTop w:val="0"/>
      <w:marBottom w:val="0"/>
      <w:divBdr>
        <w:top w:val="none" w:sz="0" w:space="0" w:color="auto"/>
        <w:left w:val="none" w:sz="0" w:space="0" w:color="auto"/>
        <w:bottom w:val="none" w:sz="0" w:space="0" w:color="auto"/>
        <w:right w:val="none" w:sz="0" w:space="0" w:color="auto"/>
      </w:divBdr>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413765">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164715">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175009">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149145">
      <w:bodyDiv w:val="1"/>
      <w:marLeft w:val="0"/>
      <w:marRight w:val="0"/>
      <w:marTop w:val="0"/>
      <w:marBottom w:val="0"/>
      <w:divBdr>
        <w:top w:val="none" w:sz="0" w:space="0" w:color="auto"/>
        <w:left w:val="none" w:sz="0" w:space="0" w:color="auto"/>
        <w:bottom w:val="none" w:sz="0" w:space="0" w:color="auto"/>
        <w:right w:val="none" w:sz="0" w:space="0" w:color="auto"/>
      </w:divBdr>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8868933">
      <w:bodyDiv w:val="1"/>
      <w:marLeft w:val="0"/>
      <w:marRight w:val="0"/>
      <w:marTop w:val="0"/>
      <w:marBottom w:val="0"/>
      <w:divBdr>
        <w:top w:val="none" w:sz="0" w:space="0" w:color="auto"/>
        <w:left w:val="none" w:sz="0" w:space="0" w:color="auto"/>
        <w:bottom w:val="none" w:sz="0" w:space="0" w:color="auto"/>
        <w:right w:val="none" w:sz="0" w:space="0" w:color="auto"/>
      </w:divBdr>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133105">
      <w:bodyDiv w:val="1"/>
      <w:marLeft w:val="0"/>
      <w:marRight w:val="0"/>
      <w:marTop w:val="0"/>
      <w:marBottom w:val="0"/>
      <w:divBdr>
        <w:top w:val="none" w:sz="0" w:space="0" w:color="auto"/>
        <w:left w:val="none" w:sz="0" w:space="0" w:color="auto"/>
        <w:bottom w:val="none" w:sz="0" w:space="0" w:color="auto"/>
        <w:right w:val="none" w:sz="0" w:space="0" w:color="auto"/>
      </w:divBdr>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186813">
      <w:bodyDiv w:val="1"/>
      <w:marLeft w:val="0"/>
      <w:marRight w:val="0"/>
      <w:marTop w:val="0"/>
      <w:marBottom w:val="0"/>
      <w:divBdr>
        <w:top w:val="none" w:sz="0" w:space="0" w:color="auto"/>
        <w:left w:val="none" w:sz="0" w:space="0" w:color="auto"/>
        <w:bottom w:val="none" w:sz="0" w:space="0" w:color="auto"/>
        <w:right w:val="none" w:sz="0" w:space="0" w:color="auto"/>
      </w:divBdr>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3399424">
      <w:bodyDiv w:val="1"/>
      <w:marLeft w:val="0"/>
      <w:marRight w:val="0"/>
      <w:marTop w:val="0"/>
      <w:marBottom w:val="0"/>
      <w:divBdr>
        <w:top w:val="none" w:sz="0" w:space="0" w:color="auto"/>
        <w:left w:val="none" w:sz="0" w:space="0" w:color="auto"/>
        <w:bottom w:val="none" w:sz="0" w:space="0" w:color="auto"/>
        <w:right w:val="none" w:sz="0" w:space="0" w:color="auto"/>
      </w:divBdr>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068124">
      <w:bodyDiv w:val="1"/>
      <w:marLeft w:val="0"/>
      <w:marRight w:val="0"/>
      <w:marTop w:val="0"/>
      <w:marBottom w:val="0"/>
      <w:divBdr>
        <w:top w:val="none" w:sz="0" w:space="0" w:color="auto"/>
        <w:left w:val="none" w:sz="0" w:space="0" w:color="auto"/>
        <w:bottom w:val="none" w:sz="0" w:space="0" w:color="auto"/>
        <w:right w:val="none" w:sz="0" w:space="0" w:color="auto"/>
      </w:divBdr>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79852516">
      <w:bodyDiv w:val="1"/>
      <w:marLeft w:val="0"/>
      <w:marRight w:val="0"/>
      <w:marTop w:val="0"/>
      <w:marBottom w:val="0"/>
      <w:divBdr>
        <w:top w:val="none" w:sz="0" w:space="0" w:color="auto"/>
        <w:left w:val="none" w:sz="0" w:space="0" w:color="auto"/>
        <w:bottom w:val="none" w:sz="0" w:space="0" w:color="auto"/>
        <w:right w:val="none" w:sz="0" w:space="0" w:color="auto"/>
      </w:divBdr>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7292149">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3099058">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48157698">
      <w:bodyDiv w:val="1"/>
      <w:marLeft w:val="0"/>
      <w:marRight w:val="0"/>
      <w:marTop w:val="0"/>
      <w:marBottom w:val="0"/>
      <w:divBdr>
        <w:top w:val="none" w:sz="0" w:space="0" w:color="auto"/>
        <w:left w:val="none" w:sz="0" w:space="0" w:color="auto"/>
        <w:bottom w:val="none" w:sz="0" w:space="0" w:color="auto"/>
        <w:right w:val="none" w:sz="0" w:space="0" w:color="auto"/>
      </w:divBdr>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300561">
      <w:bodyDiv w:val="1"/>
      <w:marLeft w:val="0"/>
      <w:marRight w:val="0"/>
      <w:marTop w:val="0"/>
      <w:marBottom w:val="0"/>
      <w:divBdr>
        <w:top w:val="none" w:sz="0" w:space="0" w:color="auto"/>
        <w:left w:val="none" w:sz="0" w:space="0" w:color="auto"/>
        <w:bottom w:val="none" w:sz="0" w:space="0" w:color="auto"/>
        <w:right w:val="none" w:sz="0" w:space="0" w:color="auto"/>
      </w:divBdr>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4490168">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1163826">
      <w:bodyDiv w:val="1"/>
      <w:marLeft w:val="0"/>
      <w:marRight w:val="0"/>
      <w:marTop w:val="0"/>
      <w:marBottom w:val="0"/>
      <w:divBdr>
        <w:top w:val="none" w:sz="0" w:space="0" w:color="auto"/>
        <w:left w:val="none" w:sz="0" w:space="0" w:color="auto"/>
        <w:bottom w:val="none" w:sz="0" w:space="0" w:color="auto"/>
        <w:right w:val="none" w:sz="0" w:space="0" w:color="auto"/>
      </w:divBdr>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1963679">
      <w:bodyDiv w:val="1"/>
      <w:marLeft w:val="0"/>
      <w:marRight w:val="0"/>
      <w:marTop w:val="0"/>
      <w:marBottom w:val="0"/>
      <w:divBdr>
        <w:top w:val="none" w:sz="0" w:space="0" w:color="auto"/>
        <w:left w:val="none" w:sz="0" w:space="0" w:color="auto"/>
        <w:bottom w:val="none" w:sz="0" w:space="0" w:color="auto"/>
        <w:right w:val="none" w:sz="0" w:space="0" w:color="auto"/>
      </w:divBdr>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1073768">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09392158">
      <w:bodyDiv w:val="1"/>
      <w:marLeft w:val="0"/>
      <w:marRight w:val="0"/>
      <w:marTop w:val="0"/>
      <w:marBottom w:val="0"/>
      <w:divBdr>
        <w:top w:val="none" w:sz="0" w:space="0" w:color="auto"/>
        <w:left w:val="none" w:sz="0" w:space="0" w:color="auto"/>
        <w:bottom w:val="none" w:sz="0" w:space="0" w:color="auto"/>
        <w:right w:val="none" w:sz="0" w:space="0" w:color="auto"/>
      </w:divBdr>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47226">
      <w:bodyDiv w:val="1"/>
      <w:marLeft w:val="0"/>
      <w:marRight w:val="0"/>
      <w:marTop w:val="0"/>
      <w:marBottom w:val="0"/>
      <w:divBdr>
        <w:top w:val="none" w:sz="0" w:space="0" w:color="auto"/>
        <w:left w:val="none" w:sz="0" w:space="0" w:color="auto"/>
        <w:bottom w:val="none" w:sz="0" w:space="0" w:color="auto"/>
        <w:right w:val="none" w:sz="0" w:space="0" w:color="auto"/>
      </w:divBdr>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0883919">
      <w:bodyDiv w:val="1"/>
      <w:marLeft w:val="0"/>
      <w:marRight w:val="0"/>
      <w:marTop w:val="0"/>
      <w:marBottom w:val="0"/>
      <w:divBdr>
        <w:top w:val="none" w:sz="0" w:space="0" w:color="auto"/>
        <w:left w:val="none" w:sz="0" w:space="0" w:color="auto"/>
        <w:bottom w:val="none" w:sz="0" w:space="0" w:color="auto"/>
        <w:right w:val="none" w:sz="0" w:space="0" w:color="auto"/>
      </w:divBdr>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059416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6180648">
      <w:bodyDiv w:val="1"/>
      <w:marLeft w:val="0"/>
      <w:marRight w:val="0"/>
      <w:marTop w:val="0"/>
      <w:marBottom w:val="0"/>
      <w:divBdr>
        <w:top w:val="none" w:sz="0" w:space="0" w:color="auto"/>
        <w:left w:val="none" w:sz="0" w:space="0" w:color="auto"/>
        <w:bottom w:val="none" w:sz="0" w:space="0" w:color="auto"/>
        <w:right w:val="none" w:sz="0" w:space="0" w:color="auto"/>
      </w:divBdr>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47638774">
      <w:bodyDiv w:val="1"/>
      <w:marLeft w:val="0"/>
      <w:marRight w:val="0"/>
      <w:marTop w:val="0"/>
      <w:marBottom w:val="0"/>
      <w:divBdr>
        <w:top w:val="none" w:sz="0" w:space="0" w:color="auto"/>
        <w:left w:val="none" w:sz="0" w:space="0" w:color="auto"/>
        <w:bottom w:val="none" w:sz="0" w:space="0" w:color="auto"/>
        <w:right w:val="none" w:sz="0" w:space="0" w:color="auto"/>
      </w:divBdr>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0983245">
      <w:bodyDiv w:val="1"/>
      <w:marLeft w:val="0"/>
      <w:marRight w:val="0"/>
      <w:marTop w:val="0"/>
      <w:marBottom w:val="0"/>
      <w:divBdr>
        <w:top w:val="none" w:sz="0" w:space="0" w:color="auto"/>
        <w:left w:val="none" w:sz="0" w:space="0" w:color="auto"/>
        <w:bottom w:val="none" w:sz="0" w:space="0" w:color="auto"/>
        <w:right w:val="none" w:sz="0" w:space="0" w:color="auto"/>
      </w:divBdr>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2357635">
      <w:bodyDiv w:val="1"/>
      <w:marLeft w:val="0"/>
      <w:marRight w:val="0"/>
      <w:marTop w:val="0"/>
      <w:marBottom w:val="0"/>
      <w:divBdr>
        <w:top w:val="none" w:sz="0" w:space="0" w:color="auto"/>
        <w:left w:val="none" w:sz="0" w:space="0" w:color="auto"/>
        <w:bottom w:val="none" w:sz="0" w:space="0" w:color="auto"/>
        <w:right w:val="none" w:sz="0" w:space="0" w:color="auto"/>
      </w:divBdr>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21735</TotalTime>
  <Pages>1</Pages>
  <Words>702</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719</cp:revision>
  <cp:lastPrinted>2025-04-14T09:12:00Z</cp:lastPrinted>
  <dcterms:created xsi:type="dcterms:W3CDTF">2022-10-16T08:36:00Z</dcterms:created>
  <dcterms:modified xsi:type="dcterms:W3CDTF">2026-01-24T07:54:00Z</dcterms:modified>
</cp:coreProperties>
</file>