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CC216" w14:textId="77777777" w:rsidR="00024AEE" w:rsidRDefault="00024AEE" w:rsidP="00024AEE">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ACEC25F" w14:textId="77777777" w:rsidR="00024AEE" w:rsidRDefault="00024AEE" w:rsidP="00024AEE">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1903A46F" w14:textId="77777777" w:rsidR="00024AEE" w:rsidRDefault="00024AEE" w:rsidP="00024AEE">
      <w:pPr>
        <w:widowControl w:val="0"/>
        <w:bidi/>
        <w:spacing w:after="0"/>
        <w:jc w:val="center"/>
        <w:rPr>
          <w:rFonts w:cs="B Mitra" w:hint="cs"/>
          <w:b/>
          <w:bCs/>
          <w:sz w:val="32"/>
          <w:szCs w:val="32"/>
          <w:rtl/>
          <w:lang w:bidi="fa-IR"/>
        </w:rPr>
      </w:pPr>
      <w:r>
        <w:rPr>
          <w:rFonts w:cs="B Mitra" w:hint="cs"/>
          <w:b/>
          <w:bCs/>
          <w:sz w:val="32"/>
          <w:szCs w:val="32"/>
          <w:rtl/>
          <w:lang w:bidi="fa-IR"/>
        </w:rPr>
        <w:t>جلسه 901</w:t>
      </w:r>
    </w:p>
    <w:p w14:paraId="3BC7FBC9" w14:textId="77777777" w:rsidR="00024AEE" w:rsidRDefault="00024AEE" w:rsidP="00024AEE">
      <w:pPr>
        <w:widowControl w:val="0"/>
        <w:bidi/>
        <w:spacing w:after="0"/>
        <w:ind w:firstLine="284"/>
        <w:jc w:val="both"/>
        <w:rPr>
          <w:rFonts w:cs="Abz-2 (Badr)" w:hint="cs"/>
          <w:color w:val="000000" w:themeColor="text1"/>
          <w:sz w:val="28"/>
          <w:szCs w:val="28"/>
          <w:rtl/>
          <w:lang w:bidi="fa-IR"/>
        </w:rPr>
      </w:pPr>
      <w:bookmarkStart w:id="0" w:name="_Hlk159096966"/>
    </w:p>
    <w:p w14:paraId="0213101C" w14:textId="77777777" w:rsidR="00024AEE" w:rsidRDefault="00024AEE" w:rsidP="00024AEE">
      <w:pPr>
        <w:widowControl w:val="0"/>
        <w:bidi/>
        <w:spacing w:after="0"/>
        <w:ind w:left="1701" w:firstLine="284"/>
        <w:jc w:val="both"/>
        <w:rPr>
          <w:rFonts w:cs="Abz-2 (Badr)" w:hint="cs"/>
          <w:color w:val="00B050"/>
          <w:spacing w:val="-2"/>
          <w:sz w:val="28"/>
          <w:szCs w:val="28"/>
          <w:rtl/>
          <w:lang w:bidi="ar"/>
        </w:rPr>
      </w:pPr>
      <w:bookmarkStart w:id="1" w:name="_Hlk217813422"/>
      <w:bookmarkStart w:id="2" w:name="_Hlk217856631"/>
      <w:bookmarkEnd w:id="0"/>
      <w:r>
        <w:rPr>
          <w:rFonts w:cs="Abz-2 (Badr)" w:hint="cs"/>
          <w:color w:val="00B050"/>
          <w:spacing w:val="-2"/>
          <w:sz w:val="28"/>
          <w:szCs w:val="28"/>
          <w:rtl/>
          <w:lang w:bidi="fa-IR"/>
        </w:rPr>
        <w:t>قال المحقّق الحلّي: «</w:t>
      </w:r>
      <w:r>
        <w:rPr>
          <w:rFonts w:cs="Abz-2 (Badr)" w:hint="cs"/>
          <w:color w:val="00B050"/>
          <w:spacing w:val="-2"/>
          <w:sz w:val="28"/>
          <w:szCs w:val="28"/>
          <w:rtl/>
          <w:lang w:bidi="ar"/>
        </w:rPr>
        <w:t>الثالثة: إذا دخل بها واستمرّت تأكل معه وتشرب على العادة، لم تكن لها مطالبته بمدّة مؤاكلته.</w:t>
      </w:r>
    </w:p>
    <w:p w14:paraId="305DBD97" w14:textId="77777777" w:rsidR="00024AEE" w:rsidRDefault="00024AEE" w:rsidP="00024AEE">
      <w:pPr>
        <w:widowControl w:val="0"/>
        <w:bidi/>
        <w:spacing w:after="0"/>
        <w:ind w:left="1701" w:firstLine="284"/>
        <w:jc w:val="both"/>
        <w:rPr>
          <w:rFonts w:cs="Abz-2 (Badr)" w:hint="cs"/>
          <w:color w:val="000000" w:themeColor="text1"/>
          <w:spacing w:val="-2"/>
          <w:sz w:val="28"/>
          <w:szCs w:val="28"/>
          <w:rtl/>
          <w:lang w:bidi="fa-IR"/>
        </w:rPr>
      </w:pPr>
      <w:r>
        <w:rPr>
          <w:rFonts w:cs="Abz-2 (Badr)" w:hint="cs"/>
          <w:color w:val="00B050"/>
          <w:spacing w:val="-2"/>
          <w:sz w:val="28"/>
          <w:szCs w:val="28"/>
          <w:rtl/>
          <w:lang w:bidi="ar"/>
        </w:rPr>
        <w:t>ولو تزوّجها ولم يدخل بها وانقضت مدّة لم تطالبه بنفقة، لم تجب لها النفقة على القول بأنّ التمكين موجب للنفقة أو شرط فيها، إذ لا وثوق لحصول التمكين لو طلبه.»</w:t>
      </w:r>
      <w:r>
        <w:rPr>
          <w:rStyle w:val="FootnoteReference"/>
          <w:rFonts w:cs="Abz-2 (Badr)"/>
          <w:color w:val="000000" w:themeColor="text1"/>
          <w:spacing w:val="-2"/>
          <w:sz w:val="28"/>
          <w:szCs w:val="28"/>
          <w:rtl/>
          <w:lang w:bidi="ar"/>
        </w:rPr>
        <w:footnoteReference w:id="1"/>
      </w:r>
    </w:p>
    <w:p w14:paraId="173F2546"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p>
    <w:p w14:paraId="6C85A99F"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محقق حلی در اين مسأله دو فرض را مطرح کرده است:</w:t>
      </w:r>
    </w:p>
    <w:p w14:paraId="5EC925A2"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r>
        <w:rPr>
          <w:rFonts w:cs="Abz-2 (Badr)" w:hint="cs"/>
          <w:color w:val="C45911" w:themeColor="accent2" w:themeShade="BF"/>
          <w:spacing w:val="-2"/>
          <w:sz w:val="28"/>
          <w:szCs w:val="28"/>
          <w:rtl/>
          <w:lang w:bidi="fa-IR"/>
        </w:rPr>
        <w:t xml:space="preserve">فرض اول: </w:t>
      </w:r>
      <w:r>
        <w:rPr>
          <w:rFonts w:cs="Abz-2 (Badr)" w:hint="cs"/>
          <w:color w:val="000000" w:themeColor="text1"/>
          <w:spacing w:val="-2"/>
          <w:sz w:val="28"/>
          <w:szCs w:val="28"/>
          <w:rtl/>
          <w:lang w:bidi="fa-IR"/>
        </w:rPr>
        <w:t>چنانچه زوج مدتی با زوجه هم غذا شود و وی را در خوزدن غذا با خود همراه سازد بدون اين که به او بگويد: «اين غذايی که در حال خوردن آن هستی از باب نفقه به تو می</w:t>
      </w:r>
      <w:r>
        <w:rPr>
          <w:rFonts w:cs="Abz-2 (Badr)" w:hint="cs"/>
          <w:color w:val="000000" w:themeColor="text1"/>
          <w:spacing w:val="-2"/>
          <w:sz w:val="28"/>
          <w:szCs w:val="28"/>
          <w:rtl/>
          <w:lang w:bidi="fa-IR"/>
        </w:rPr>
        <w:softHyphen/>
        <w:t>دهم»، آيا همين مقدار برای سقوط نفقه کفايت می</w:t>
      </w:r>
      <w:r>
        <w:rPr>
          <w:rFonts w:cs="Abz-2 (Badr)" w:hint="cs"/>
          <w:color w:val="000000" w:themeColor="text1"/>
          <w:spacing w:val="-2"/>
          <w:sz w:val="28"/>
          <w:szCs w:val="28"/>
          <w:rtl/>
          <w:lang w:bidi="fa-IR"/>
        </w:rPr>
        <w:softHyphen/>
        <w:t>کند يا خير؟</w:t>
      </w:r>
    </w:p>
    <w:p w14:paraId="65B58ED7"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اصل اين مسأله توسط عامه مطرح شده است.</w:t>
      </w:r>
    </w:p>
    <w:p w14:paraId="0135C9E4" w14:textId="77777777" w:rsidR="00024AEE" w:rsidRDefault="00024AEE" w:rsidP="00024AEE">
      <w:pPr>
        <w:widowControl w:val="0"/>
        <w:bidi/>
        <w:spacing w:after="0"/>
        <w:ind w:firstLine="284"/>
        <w:jc w:val="both"/>
        <w:rPr>
          <w:rFonts w:cs="Abz-2 (Badr)" w:hint="cs"/>
          <w:color w:val="0070C0"/>
          <w:spacing w:val="-2"/>
          <w:sz w:val="28"/>
          <w:szCs w:val="28"/>
          <w:rtl/>
        </w:rPr>
      </w:pPr>
      <w:r>
        <w:rPr>
          <w:rFonts w:cs="Abz-2 (Badr)" w:hint="cs"/>
          <w:color w:val="000000" w:themeColor="text1"/>
          <w:spacing w:val="-2"/>
          <w:sz w:val="28"/>
          <w:szCs w:val="28"/>
          <w:rtl/>
          <w:lang w:bidi="fa-IR"/>
        </w:rPr>
        <w:t>نووی در اين خصوص می</w:t>
      </w:r>
      <w:r>
        <w:rPr>
          <w:rFonts w:cs="Abz-2 (Badr)" w:hint="cs"/>
          <w:color w:val="000000" w:themeColor="text1"/>
          <w:spacing w:val="-2"/>
          <w:sz w:val="28"/>
          <w:szCs w:val="28"/>
          <w:rtl/>
          <w:lang w:bidi="fa-IR"/>
        </w:rPr>
        <w:softHyphen/>
        <w:t xml:space="preserve">گويد: </w:t>
      </w:r>
      <w:r>
        <w:rPr>
          <w:rFonts w:cs="Abz-2 (Badr)" w:hint="cs"/>
          <w:color w:val="0070C0"/>
          <w:spacing w:val="-2"/>
          <w:sz w:val="28"/>
          <w:szCs w:val="28"/>
          <w:rtl/>
          <w:lang w:bidi="fa-IR"/>
        </w:rPr>
        <w:t>«</w:t>
      </w:r>
      <w:r>
        <w:rPr>
          <w:rFonts w:cs="Abz-2 (Badr)" w:hint="cs"/>
          <w:color w:val="0070C0"/>
          <w:spacing w:val="-2"/>
          <w:sz w:val="28"/>
          <w:szCs w:val="28"/>
          <w:rtl/>
        </w:rPr>
        <w:t>لو كانت تأكل ‌معه على العادة، ففي سقوط نفقتها وجهان، أقيسهما: ...لا تسقط وإن جريا على ذلك سنين، لأنّه لم يؤدّ الواجب وتطوّع بغيره.</w:t>
      </w:r>
    </w:p>
    <w:p w14:paraId="078EE601" w14:textId="77777777" w:rsidR="00024AEE" w:rsidRDefault="00024AEE" w:rsidP="00024AEE">
      <w:pPr>
        <w:widowControl w:val="0"/>
        <w:bidi/>
        <w:spacing w:after="0"/>
        <w:ind w:firstLine="284"/>
        <w:jc w:val="both"/>
        <w:rPr>
          <w:rFonts w:cs="Abz-2 (Badr)" w:hint="cs"/>
          <w:color w:val="0070C0"/>
          <w:spacing w:val="-2"/>
          <w:sz w:val="28"/>
          <w:szCs w:val="28"/>
          <w:rtl/>
        </w:rPr>
      </w:pPr>
      <w:r>
        <w:rPr>
          <w:rFonts w:cs="Abz-2 (Badr)" w:hint="cs"/>
          <w:color w:val="0070C0"/>
          <w:spacing w:val="-2"/>
          <w:sz w:val="28"/>
          <w:szCs w:val="28"/>
          <w:rtl/>
        </w:rPr>
        <w:t>والثاني: تسقط، فإنّه اللائق بالباب؛ قال الغزالي: وهذا أحسنهما، لجريان الناس عليه في الأعصار، واكتفاء الزوجات به، ولأنّها لو طلبت النفقة للزمن الماضي والحالة هذه لاستنكر.</w:t>
      </w:r>
    </w:p>
    <w:p w14:paraId="101A745B" w14:textId="77777777" w:rsidR="00024AEE" w:rsidRDefault="00024AEE" w:rsidP="00024AEE">
      <w:pPr>
        <w:widowControl w:val="0"/>
        <w:bidi/>
        <w:spacing w:after="0"/>
        <w:ind w:firstLine="284"/>
        <w:jc w:val="both"/>
        <w:rPr>
          <w:rFonts w:cs="Abz-2 (Badr)" w:hint="cs"/>
          <w:color w:val="0070C0"/>
          <w:spacing w:val="-2"/>
          <w:sz w:val="28"/>
          <w:szCs w:val="28"/>
          <w:rtl/>
        </w:rPr>
      </w:pPr>
      <w:r>
        <w:rPr>
          <w:rFonts w:cs="Abz-2 (Badr)" w:hint="cs"/>
          <w:color w:val="0070C0"/>
          <w:spacing w:val="-2"/>
          <w:sz w:val="28"/>
          <w:szCs w:val="28"/>
          <w:rtl/>
        </w:rPr>
        <w:lastRenderedPageBreak/>
        <w:t>وبنى بعضهم هذا على المعاطاة، إن جعلناها بيعاً، برئت ذمّته عن النفقة، وإلا فلا، وعليها غرامة ما أكلت.</w:t>
      </w:r>
    </w:p>
    <w:p w14:paraId="61EE8AAE" w14:textId="77777777" w:rsidR="00024AEE" w:rsidRDefault="00024AEE" w:rsidP="00024AEE">
      <w:pPr>
        <w:widowControl w:val="0"/>
        <w:bidi/>
        <w:spacing w:after="0"/>
        <w:ind w:firstLine="284"/>
        <w:jc w:val="both"/>
        <w:rPr>
          <w:rFonts w:cs="Abz-2 (Badr)" w:hint="cs"/>
          <w:color w:val="0070C0"/>
          <w:spacing w:val="-2"/>
          <w:sz w:val="28"/>
          <w:szCs w:val="28"/>
          <w:rtl/>
        </w:rPr>
      </w:pPr>
      <w:r>
        <w:rPr>
          <w:rFonts w:cs="Abz-2 (Badr)" w:hint="cs"/>
          <w:color w:val="0070C0"/>
          <w:spacing w:val="-2"/>
          <w:sz w:val="28"/>
          <w:szCs w:val="28"/>
          <w:rtl/>
        </w:rPr>
        <w:t>ثمّ الوجهان في الزوجة البالغة أو صغيرة أكلت معه بإذن القيّم. فأمّا إذا لم يأذن القيّم، فالزوج متطوّع ولا تسقط نفقتها بلا خلاف.</w:t>
      </w:r>
    </w:p>
    <w:p w14:paraId="174B1F93" w14:textId="77777777" w:rsidR="00024AEE" w:rsidRDefault="00024AEE" w:rsidP="00024AEE">
      <w:pPr>
        <w:widowControl w:val="0"/>
        <w:bidi/>
        <w:spacing w:after="0"/>
        <w:ind w:firstLine="284"/>
        <w:jc w:val="both"/>
        <w:rPr>
          <w:rFonts w:cs="Abz-2 (Badr)"/>
          <w:color w:val="000000" w:themeColor="text1"/>
          <w:spacing w:val="-2"/>
          <w:sz w:val="28"/>
          <w:szCs w:val="28"/>
        </w:rPr>
      </w:pPr>
      <w:r>
        <w:rPr>
          <w:rFonts w:cs="Abz-2 (Badr)" w:hint="cs"/>
          <w:color w:val="0070C0"/>
          <w:spacing w:val="-2"/>
          <w:sz w:val="28"/>
          <w:szCs w:val="28"/>
          <w:rtl/>
        </w:rPr>
        <w:t>قلت: الصحيح من الوجهين سقوط نفقتها إذا أكلت معه برضاها... وعليه جرى الناس من رسول الله(ص) وبعده من غير نزاع ولا إنكار ولا خلاف، ولم ينقل أنّ امرأة طالبت بنفقة بعده. ولو كانت لا تسقط مع علم النبي(ص) بإطباقهم عليه، لأعلمهم بذلك، واقتصّه من تركة من مات ولم يوفّه، وهذا ممّا لا شكّ فيه.»</w:t>
      </w:r>
      <w:r>
        <w:rPr>
          <w:rStyle w:val="FootnoteReference"/>
          <w:rFonts w:cs="Abz-2 (Badr)"/>
          <w:color w:val="000000" w:themeColor="text1"/>
          <w:spacing w:val="-2"/>
          <w:sz w:val="28"/>
          <w:szCs w:val="28"/>
          <w:rtl/>
          <w:lang w:bidi="ar"/>
        </w:rPr>
        <w:footnoteReference w:id="2"/>
      </w:r>
    </w:p>
    <w:p w14:paraId="38070AD7" w14:textId="77777777" w:rsidR="00024AEE" w:rsidRDefault="00024AEE" w:rsidP="00024AEE">
      <w:pPr>
        <w:widowControl w:val="0"/>
        <w:bidi/>
        <w:spacing w:after="0"/>
        <w:ind w:firstLine="284"/>
        <w:jc w:val="both"/>
        <w:rPr>
          <w:rFonts w:cs="Abz-2 (Badr)" w:hint="cs"/>
          <w:color w:val="0070C0"/>
          <w:spacing w:val="-2"/>
          <w:sz w:val="28"/>
          <w:szCs w:val="28"/>
          <w:rtl/>
          <w:lang w:bidi="ar"/>
        </w:rPr>
      </w:pPr>
      <w:r>
        <w:rPr>
          <w:rFonts w:cs="Abz-2 (Badr)" w:hint="cs"/>
          <w:color w:val="000000" w:themeColor="text1"/>
          <w:spacing w:val="-2"/>
          <w:sz w:val="28"/>
          <w:szCs w:val="28"/>
          <w:rtl/>
          <w:lang w:bidi="fa-IR"/>
        </w:rPr>
        <w:t>شيخ طوسی نيز در خصوص اين مسأله می</w:t>
      </w:r>
      <w:r>
        <w:rPr>
          <w:rFonts w:cs="Abz-2 (Badr)" w:hint="cs"/>
          <w:color w:val="000000" w:themeColor="text1"/>
          <w:spacing w:val="-2"/>
          <w:sz w:val="28"/>
          <w:szCs w:val="28"/>
          <w:rtl/>
          <w:lang w:bidi="fa-IR"/>
        </w:rPr>
        <w:softHyphen/>
        <w:t xml:space="preserve">فرمايد: </w:t>
      </w:r>
      <w:r>
        <w:rPr>
          <w:rFonts w:cs="Abz-2 (Badr)" w:hint="cs"/>
          <w:color w:val="0070C0"/>
          <w:spacing w:val="-2"/>
          <w:sz w:val="28"/>
          <w:szCs w:val="28"/>
          <w:rtl/>
          <w:lang w:bidi="fa-IR"/>
        </w:rPr>
        <w:t>«</w:t>
      </w:r>
      <w:r>
        <w:rPr>
          <w:rFonts w:cs="Abz-2 (Badr)" w:hint="cs"/>
          <w:color w:val="0070C0"/>
          <w:spacing w:val="-2"/>
          <w:sz w:val="28"/>
          <w:szCs w:val="28"/>
          <w:rtl/>
          <w:lang w:bidi="ar"/>
        </w:rPr>
        <w:t>إذا رزقت زوجته وأقامت في يده فينفق عليها الطعام والشراب وأنواع المأكولات سنين، كان ذلك نفقتها ولا يلزمها فيما بعد شيء، سواء كان ذلك مطلقاً أو مقيّداً.</w:t>
      </w:r>
    </w:p>
    <w:p w14:paraId="0137BC0A"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r>
        <w:rPr>
          <w:rFonts w:cs="Abz-2 (Badr)" w:hint="cs"/>
          <w:color w:val="0070C0"/>
          <w:spacing w:val="-2"/>
          <w:sz w:val="28"/>
          <w:szCs w:val="28"/>
          <w:rtl/>
          <w:lang w:bidi="ar"/>
        </w:rPr>
        <w:t>وقال بعضهم: إن أنفقه مطلقاً استقرّت نفقتها لمضيّ الوقت ولم تسقط، ولم يكن ما أنفق عليها نفقتها، لأنّ الذي يجب لها الحبّ، وما وافقتها على أنّ هذا في مقابلته، وإن كان الإنفاق بشرط أنّ هذا نفقة عليها بدلاً عن الواجب لها، فعلى هذا هذه معاوضة فاسدة، ولكلّ واحد منهما على صاحبه ما وجب له عليه، له عليها قيمة ما أنفقه، ولها عليه ما استقرّ في ذمته.»</w:t>
      </w:r>
      <w:r>
        <w:rPr>
          <w:rStyle w:val="FootnoteReference"/>
          <w:rFonts w:cs="Abz-2 (Badr)"/>
          <w:color w:val="000000" w:themeColor="text1"/>
          <w:spacing w:val="-2"/>
          <w:sz w:val="28"/>
          <w:szCs w:val="28"/>
          <w:rtl/>
          <w:lang w:bidi="ar"/>
        </w:rPr>
        <w:footnoteReference w:id="3"/>
      </w:r>
    </w:p>
    <w:p w14:paraId="52358E9E" w14:textId="77777777" w:rsidR="00024AEE" w:rsidRDefault="00024AEE" w:rsidP="00024AEE">
      <w:pPr>
        <w:widowControl w:val="0"/>
        <w:bidi/>
        <w:spacing w:after="0" w:line="252" w:lineRule="auto"/>
        <w:ind w:firstLine="284"/>
        <w:jc w:val="both"/>
        <w:rPr>
          <w:rFonts w:cs="Abz-2 (Badr)" w:hint="cs"/>
          <w:color w:val="0070C0"/>
          <w:spacing w:val="-2"/>
          <w:sz w:val="28"/>
          <w:szCs w:val="28"/>
          <w:rtl/>
          <w:lang w:bidi="ar"/>
        </w:rPr>
      </w:pPr>
      <w:r>
        <w:rPr>
          <w:rFonts w:cs="Abz-2 (Badr)" w:hint="cs"/>
          <w:color w:val="000000" w:themeColor="text1"/>
          <w:spacing w:val="-2"/>
          <w:sz w:val="28"/>
          <w:szCs w:val="28"/>
          <w:rtl/>
          <w:lang w:bidi="fa-IR"/>
        </w:rPr>
        <w:t>شهيد ثانی نيز می</w:t>
      </w:r>
      <w:r>
        <w:rPr>
          <w:rFonts w:cs="Abz-2 (Badr)" w:hint="cs"/>
          <w:color w:val="000000" w:themeColor="text1"/>
          <w:spacing w:val="-2"/>
          <w:sz w:val="28"/>
          <w:szCs w:val="28"/>
          <w:rtl/>
          <w:lang w:bidi="fa-IR"/>
        </w:rPr>
        <w:softHyphen/>
        <w:t xml:space="preserve">فرمايد: </w:t>
      </w:r>
      <w:r>
        <w:rPr>
          <w:rFonts w:cs="Abz-2 (Badr)" w:hint="cs"/>
          <w:color w:val="0070C0"/>
          <w:spacing w:val="-2"/>
          <w:sz w:val="28"/>
          <w:szCs w:val="28"/>
          <w:rtl/>
          <w:lang w:bidi="fa-IR"/>
        </w:rPr>
        <w:t>«</w:t>
      </w:r>
      <w:r>
        <w:rPr>
          <w:rFonts w:cs="Abz-2 (Badr)" w:hint="cs"/>
          <w:color w:val="0070C0"/>
          <w:spacing w:val="-2"/>
          <w:sz w:val="28"/>
          <w:szCs w:val="28"/>
          <w:rtl/>
          <w:lang w:bidi="ar"/>
        </w:rPr>
        <w:t>إنّما لم يكن لها ذلك لحصول المقصود من النفقة، ولجريان الناس على ذلك في سائر الأعصار، واكتفاء الزوجات به، ولو طلبت المرأة النفقة للزمان الماضي والحال هذه لاستنكر.</w:t>
      </w:r>
    </w:p>
    <w:p w14:paraId="6BAD2C12" w14:textId="77777777" w:rsidR="00024AEE" w:rsidRDefault="00024AEE" w:rsidP="00024AEE">
      <w:pPr>
        <w:widowControl w:val="0"/>
        <w:bidi/>
        <w:spacing w:after="0" w:line="252" w:lineRule="auto"/>
        <w:ind w:firstLine="284"/>
        <w:jc w:val="both"/>
        <w:rPr>
          <w:rFonts w:cs="Abz-2 (Badr)" w:hint="cs"/>
          <w:color w:val="0070C0"/>
          <w:spacing w:val="-2"/>
          <w:sz w:val="28"/>
          <w:szCs w:val="28"/>
          <w:rtl/>
          <w:lang w:bidi="ar"/>
        </w:rPr>
      </w:pPr>
      <w:r>
        <w:rPr>
          <w:rFonts w:cs="Abz-2 (Badr)" w:hint="cs"/>
          <w:color w:val="0070C0"/>
          <w:spacing w:val="-2"/>
          <w:sz w:val="28"/>
          <w:szCs w:val="28"/>
          <w:rtl/>
          <w:lang w:bidi="ar"/>
        </w:rPr>
        <w:t>وللشافعيّة وجه بعدم سقوط نفقتها بذلك، لأنّه لم يؤدّ الواجب الموظّف عليه شرعاً وتطوّع بما ليس بواجب.</w:t>
      </w:r>
    </w:p>
    <w:p w14:paraId="6D80B0B0" w14:textId="77777777" w:rsidR="00024AEE" w:rsidRDefault="00024AEE" w:rsidP="00024AEE">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70C0"/>
          <w:spacing w:val="-2"/>
          <w:sz w:val="28"/>
          <w:szCs w:val="28"/>
          <w:rtl/>
          <w:lang w:bidi="ar"/>
        </w:rPr>
        <w:t>هذا إذا كانت المرأة بالغة رشيدة، أو كانت تأكل معه بإذن الوليّ‌. أمّا لو كانت مولّى عليها ولم يأذن الوليّ، فالزوج متطوّع ولا تسقط نفقتها بذلك، لتوقّفها على قبضه أو إذنه.»</w:t>
      </w:r>
      <w:r>
        <w:rPr>
          <w:rStyle w:val="FootnoteReference"/>
          <w:rFonts w:cs="Abz-2 (Badr)"/>
          <w:color w:val="000000" w:themeColor="text1"/>
          <w:spacing w:val="-2"/>
          <w:sz w:val="28"/>
          <w:szCs w:val="28"/>
          <w:rtl/>
          <w:lang w:bidi="ar"/>
        </w:rPr>
        <w:footnoteReference w:id="4"/>
      </w:r>
    </w:p>
    <w:p w14:paraId="7D073D68"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بحث ثبوتی اين مسأله را جلسه قبل مطرح کرديم.</w:t>
      </w:r>
    </w:p>
    <w:p w14:paraId="19CBA729"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lastRenderedPageBreak/>
        <w:t xml:space="preserve">البته يک نکته در بحث ثبوتی باقی است و آن اين که </w:t>
      </w:r>
      <w:bookmarkStart w:id="3" w:name="_Hlk218943963"/>
      <w:r>
        <w:rPr>
          <w:rFonts w:cs="Abz-2 (Badr)" w:hint="cs"/>
          <w:color w:val="000000" w:themeColor="text1"/>
          <w:spacing w:val="-2"/>
          <w:sz w:val="28"/>
          <w:szCs w:val="28"/>
          <w:rtl/>
          <w:lang w:bidi="fa-IR"/>
        </w:rPr>
        <w:t>ادعا شود که کفايت از نفقه در فرض مذکور، مستند به وجود سيره مستمره تا زمان معصوم(ع) است.</w:t>
      </w:r>
    </w:p>
    <w:p w14:paraId="34D8846C"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اما اشکال اين مطلب اين است که وجود سيره در صورتی اثبات مدعای اصحاب را خواهد کرد که وجوب تمليک بر زوج مفروض دانسته شود، وگرنه می</w:t>
      </w:r>
      <w:r>
        <w:rPr>
          <w:rFonts w:cs="Abz-2 (Badr)" w:hint="cs"/>
          <w:color w:val="000000" w:themeColor="text1"/>
          <w:spacing w:val="-2"/>
          <w:sz w:val="28"/>
          <w:szCs w:val="28"/>
          <w:rtl/>
          <w:lang w:bidi="fa-IR"/>
        </w:rPr>
        <w:softHyphen/>
        <w:t>توان ادعا کرد که سکوت معصوم(ع) از اين جهت بوده است که بر زوج تمليک واجب نيست و وظيفه وی چيزی بجز اين نيست که نفقه را در اختيار زوجه قرار دهد، زيرا تمليک توسط شارع انجام پذيرفته است.</w:t>
      </w:r>
    </w:p>
    <w:p w14:paraId="715CE35F" w14:textId="77777777" w:rsidR="00024AEE" w:rsidRDefault="00024AEE" w:rsidP="00024AEE">
      <w:pPr>
        <w:widowControl w:val="0"/>
        <w:bidi/>
        <w:spacing w:after="0"/>
        <w:ind w:firstLine="284"/>
        <w:jc w:val="both"/>
        <w:rPr>
          <w:rFonts w:cs="Abz-2 (Badr)" w:hint="cs"/>
          <w:color w:val="0070C0"/>
          <w:spacing w:val="-2"/>
          <w:sz w:val="28"/>
          <w:szCs w:val="28"/>
          <w:rtl/>
          <w:lang w:bidi="fa-IR"/>
        </w:rPr>
      </w:pPr>
      <w:r>
        <w:rPr>
          <w:rFonts w:cs="Abz-2 (Badr)" w:hint="cs"/>
          <w:color w:val="000000" w:themeColor="text1"/>
          <w:spacing w:val="-2"/>
          <w:sz w:val="28"/>
          <w:szCs w:val="28"/>
          <w:rtl/>
          <w:lang w:bidi="fa-IR"/>
        </w:rPr>
        <w:t>اما صاحب جواهر با اشکال بر مدعای شهيد ثانی در فرضی که زوجه نيازمند ولی باشد و ولی او اذن در مؤاکله وی با زوج نداده باشد، می</w:t>
      </w:r>
      <w:r>
        <w:rPr>
          <w:rFonts w:cs="Abz-2 (Badr)" w:hint="cs"/>
          <w:color w:val="000000" w:themeColor="text1"/>
          <w:spacing w:val="-2"/>
          <w:sz w:val="28"/>
          <w:szCs w:val="28"/>
          <w:rtl/>
          <w:lang w:bidi="fa-IR"/>
        </w:rPr>
        <w:softHyphen/>
        <w:t xml:space="preserve">فرمايد: </w:t>
      </w:r>
      <w:r>
        <w:rPr>
          <w:rFonts w:cs="Abz-2 (Badr)" w:hint="cs"/>
          <w:color w:val="0070C0"/>
          <w:spacing w:val="-2"/>
          <w:sz w:val="28"/>
          <w:szCs w:val="28"/>
          <w:rtl/>
          <w:lang w:bidi="fa-IR"/>
        </w:rPr>
        <w:t>«إن کان القبض له مدخليّة في کون الشيء نفقةً وفي المل</w:t>
      </w:r>
      <w:r>
        <w:rPr>
          <w:rFonts w:cs="Abz-2 (Badr)" w:hint="cs"/>
          <w:color w:val="0070C0"/>
          <w:spacing w:val="-2"/>
          <w:sz w:val="28"/>
          <w:szCs w:val="28"/>
          <w:rtl/>
        </w:rPr>
        <w:t>ك</w:t>
      </w:r>
      <w:r>
        <w:rPr>
          <w:rFonts w:cs="Abz-2 (Badr)" w:hint="cs"/>
          <w:color w:val="0070C0"/>
          <w:spacing w:val="-2"/>
          <w:sz w:val="28"/>
          <w:szCs w:val="28"/>
          <w:rtl/>
          <w:lang w:bidi="fa-IR"/>
        </w:rPr>
        <w:t>، لم يُجْد إذن الوليّ؛ ضرورة سلب أفعال المجنون مثلاً وأقواله عن القابليّة، فلابدّ حينئذٍ من قبضه أو وکيله في حصول المل</w:t>
      </w:r>
      <w:r>
        <w:rPr>
          <w:rFonts w:cs="Abz-2 (Badr)" w:hint="cs"/>
          <w:color w:val="0070C0"/>
          <w:spacing w:val="-2"/>
          <w:sz w:val="28"/>
          <w:szCs w:val="28"/>
          <w:rtl/>
        </w:rPr>
        <w:t>ك</w:t>
      </w:r>
      <w:r>
        <w:rPr>
          <w:rFonts w:cs="Abz-2 (Badr)" w:hint="cs"/>
          <w:color w:val="0070C0"/>
          <w:spacing w:val="-2"/>
          <w:sz w:val="28"/>
          <w:szCs w:val="28"/>
          <w:rtl/>
          <w:lang w:bidi="fa-IR"/>
        </w:rPr>
        <w:t>.</w:t>
      </w:r>
    </w:p>
    <w:p w14:paraId="138B9FF0" w14:textId="77777777" w:rsidR="00024AEE" w:rsidRDefault="00024AEE" w:rsidP="00024AEE">
      <w:pPr>
        <w:widowControl w:val="0"/>
        <w:bidi/>
        <w:spacing w:after="0"/>
        <w:ind w:firstLine="284"/>
        <w:jc w:val="both"/>
        <w:rPr>
          <w:rFonts w:cs="Abz-2 (Badr)" w:hint="cs"/>
          <w:color w:val="0070C0"/>
          <w:spacing w:val="-2"/>
          <w:sz w:val="28"/>
          <w:szCs w:val="28"/>
          <w:rtl/>
          <w:lang w:bidi="fa-IR"/>
        </w:rPr>
      </w:pPr>
      <w:r>
        <w:rPr>
          <w:rFonts w:cs="Abz-2 (Badr)" w:hint="cs"/>
          <w:color w:val="0070C0"/>
          <w:spacing w:val="-2"/>
          <w:sz w:val="28"/>
          <w:szCs w:val="28"/>
          <w:rtl/>
          <w:lang w:bidi="fa-IR"/>
        </w:rPr>
        <w:t>وإن کان لا مدخليّة له في ذل</w:t>
      </w:r>
      <w:r>
        <w:rPr>
          <w:rFonts w:cs="Abz-2 (Badr)" w:hint="cs"/>
          <w:color w:val="0070C0"/>
          <w:spacing w:val="-2"/>
          <w:sz w:val="28"/>
          <w:szCs w:val="28"/>
          <w:rtl/>
        </w:rPr>
        <w:t>ك</w:t>
      </w:r>
      <w:r>
        <w:rPr>
          <w:rFonts w:cs="Abz-2 (Badr)" w:hint="cs"/>
          <w:color w:val="0070C0"/>
          <w:spacing w:val="-2"/>
          <w:sz w:val="28"/>
          <w:szCs w:val="28"/>
          <w:rtl/>
          <w:lang w:bidi="fa-IR"/>
        </w:rPr>
        <w:t xml:space="preserve"> ـ باعتبار أنّ الزوج هو المخاطب بالإنفاق وإن کان من ينفق عليه يمل</w:t>
      </w:r>
      <w:r>
        <w:rPr>
          <w:rFonts w:cs="Abz-2 (Badr)" w:hint="cs"/>
          <w:color w:val="0070C0"/>
          <w:spacing w:val="-2"/>
          <w:sz w:val="28"/>
          <w:szCs w:val="28"/>
          <w:rtl/>
        </w:rPr>
        <w:t>ك</w:t>
      </w:r>
      <w:r>
        <w:rPr>
          <w:rFonts w:cs="Abz-2 (Badr)" w:hint="cs"/>
          <w:color w:val="0070C0"/>
          <w:spacing w:val="-2"/>
          <w:sz w:val="28"/>
          <w:szCs w:val="28"/>
          <w:rtl/>
          <w:lang w:bidi="fa-IR"/>
        </w:rPr>
        <w:t xml:space="preserve"> ما يکون في يده منه، لکنّه تملي</w:t>
      </w:r>
      <w:r>
        <w:rPr>
          <w:rFonts w:cs="Abz-2 (Badr)" w:hint="cs"/>
          <w:color w:val="0070C0"/>
          <w:spacing w:val="-2"/>
          <w:sz w:val="28"/>
          <w:szCs w:val="28"/>
          <w:rtl/>
        </w:rPr>
        <w:t>ك</w:t>
      </w:r>
      <w:r>
        <w:rPr>
          <w:rFonts w:cs="Abz-2 (Badr)" w:hint="cs"/>
          <w:color w:val="0070C0"/>
          <w:spacing w:val="-2"/>
          <w:sz w:val="28"/>
          <w:szCs w:val="28"/>
          <w:rtl/>
          <w:lang w:bidi="fa-IR"/>
        </w:rPr>
        <w:t xml:space="preserve"> شرعي لا مدخليّة فيه للقبض ونحوه من الأسباب التي يعتبر فيها العقل ـ فلا يحتاج إلی استئذانه في ذل</w:t>
      </w:r>
      <w:r>
        <w:rPr>
          <w:rFonts w:cs="Abz-2 (Badr)" w:hint="cs"/>
          <w:color w:val="0070C0"/>
          <w:spacing w:val="-2"/>
          <w:sz w:val="28"/>
          <w:szCs w:val="28"/>
          <w:rtl/>
        </w:rPr>
        <w:t>ك</w:t>
      </w:r>
      <w:r>
        <w:rPr>
          <w:rFonts w:cs="Abz-2 (Badr)" w:hint="cs"/>
          <w:color w:val="0070C0"/>
          <w:spacing w:val="-2"/>
          <w:sz w:val="28"/>
          <w:szCs w:val="28"/>
          <w:rtl/>
          <w:lang w:bidi="fa-IR"/>
        </w:rPr>
        <w:t>، ويسقط عنه خطاب النفقة بالمؤاکلة المزبورة.</w:t>
      </w:r>
    </w:p>
    <w:p w14:paraId="6E83675E" w14:textId="77777777" w:rsidR="00024AEE" w:rsidRDefault="00024AEE" w:rsidP="00024AEE">
      <w:pPr>
        <w:widowControl w:val="0"/>
        <w:bidi/>
        <w:spacing w:after="0"/>
        <w:ind w:firstLine="284"/>
        <w:jc w:val="both"/>
        <w:rPr>
          <w:rFonts w:cs="Abz-2 (Badr)" w:hint="cs"/>
          <w:color w:val="0070C0"/>
          <w:spacing w:val="-2"/>
          <w:sz w:val="28"/>
          <w:szCs w:val="28"/>
          <w:rtl/>
          <w:lang w:bidi="fa-IR"/>
        </w:rPr>
      </w:pPr>
      <w:r>
        <w:rPr>
          <w:rFonts w:cs="Abz-2 (Badr)" w:hint="cs"/>
          <w:color w:val="0070C0"/>
          <w:spacing w:val="-2"/>
          <w:sz w:val="28"/>
          <w:szCs w:val="28"/>
          <w:rtl/>
          <w:lang w:bidi="fa-IR"/>
        </w:rPr>
        <w:t>ولعلّ السيرة والطريقة علی ذل</w:t>
      </w:r>
      <w:r>
        <w:rPr>
          <w:rFonts w:cs="Abz-2 (Badr)" w:hint="cs"/>
          <w:color w:val="0070C0"/>
          <w:spacing w:val="-2"/>
          <w:sz w:val="28"/>
          <w:szCs w:val="28"/>
          <w:rtl/>
        </w:rPr>
        <w:t>ك و</w:t>
      </w:r>
      <w:r>
        <w:rPr>
          <w:rFonts w:cs="Abz-2 (Badr)" w:hint="cs"/>
          <w:color w:val="0070C0"/>
          <w:spacing w:val="-2"/>
          <w:sz w:val="28"/>
          <w:szCs w:val="28"/>
          <w:rtl/>
          <w:lang w:bidi="fa-IR"/>
        </w:rPr>
        <w:t>علی عدم اعتبار قصد الزوج التملي</w:t>
      </w:r>
      <w:r>
        <w:rPr>
          <w:rFonts w:cs="Abz-2 (Badr)" w:hint="cs"/>
          <w:color w:val="0070C0"/>
          <w:spacing w:val="-2"/>
          <w:sz w:val="28"/>
          <w:szCs w:val="28"/>
          <w:rtl/>
        </w:rPr>
        <w:t>ك</w:t>
      </w:r>
      <w:r>
        <w:rPr>
          <w:rFonts w:cs="Abz-2 (Badr)" w:hint="cs"/>
          <w:color w:val="0070C0"/>
          <w:spacing w:val="-2"/>
          <w:sz w:val="28"/>
          <w:szCs w:val="28"/>
          <w:rtl/>
          <w:lang w:bidi="fa-IR"/>
        </w:rPr>
        <w:t xml:space="preserve"> فيما يدفعه من الطعام إلی زوجته، وعدم قصدها التملّ</w:t>
      </w:r>
      <w:r>
        <w:rPr>
          <w:rFonts w:cs="Abz-2 (Badr)" w:hint="cs"/>
          <w:color w:val="0070C0"/>
          <w:spacing w:val="-2"/>
          <w:sz w:val="28"/>
          <w:szCs w:val="28"/>
          <w:rtl/>
        </w:rPr>
        <w:t>ك</w:t>
      </w:r>
      <w:r>
        <w:rPr>
          <w:rFonts w:cs="Abz-2 (Badr)" w:hint="cs"/>
          <w:color w:val="0070C0"/>
          <w:spacing w:val="-2"/>
          <w:sz w:val="28"/>
          <w:szCs w:val="28"/>
          <w:rtl/>
          <w:lang w:bidi="fa-IR"/>
        </w:rPr>
        <w:t xml:space="preserve"> له، وإن کان هو مل</w:t>
      </w:r>
      <w:r>
        <w:rPr>
          <w:rFonts w:cs="Abz-2 (Badr)" w:hint="cs"/>
          <w:color w:val="0070C0"/>
          <w:spacing w:val="-2"/>
          <w:sz w:val="28"/>
          <w:szCs w:val="28"/>
          <w:rtl/>
        </w:rPr>
        <w:t>ك</w:t>
      </w:r>
      <w:r>
        <w:rPr>
          <w:rFonts w:cs="Abz-2 (Badr)" w:hint="cs"/>
          <w:color w:val="0070C0"/>
          <w:spacing w:val="-2"/>
          <w:sz w:val="28"/>
          <w:szCs w:val="28"/>
          <w:rtl/>
          <w:lang w:bidi="fa-IR"/>
        </w:rPr>
        <w:t xml:space="preserve"> لها شرعاً.»</w:t>
      </w:r>
      <w:r>
        <w:rPr>
          <w:rStyle w:val="FootnoteReference"/>
          <w:rFonts w:cs="Abz-2 (Badr)"/>
          <w:color w:val="000000" w:themeColor="text1"/>
          <w:spacing w:val="-2"/>
          <w:sz w:val="28"/>
          <w:szCs w:val="28"/>
          <w:rtl/>
          <w:lang w:bidi="ar"/>
        </w:rPr>
        <w:footnoteReference w:id="5"/>
      </w:r>
    </w:p>
    <w:p w14:paraId="42216F4B"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حق نيز در اين اشکال با صاحب جواهر است و در واقع اين مطلب اقرار به اين امر است که تمليک نفقه به زوجه، توسط شارع انجام پذيرفته است، نه اين که بر زوج واجب باشد که نفقه را به زوجه تمليک نمايد.</w:t>
      </w:r>
    </w:p>
    <w:p w14:paraId="17B76AB0" w14:textId="77777777" w:rsidR="00024AEE" w:rsidRDefault="00024AEE" w:rsidP="00024AEE">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اما از حيث اثباتی چنانچه قائل شويم که تمليک بر زوج واجب است و در صورت عدم تحقق آن، ذمه وی به زوجه مشغول خواهد شود، نمی</w:t>
      </w:r>
      <w:r>
        <w:rPr>
          <w:rFonts w:cs="Abz-2 (Badr)" w:hint="cs"/>
          <w:color w:val="000000" w:themeColor="text1"/>
          <w:spacing w:val="-2"/>
          <w:sz w:val="28"/>
          <w:szCs w:val="28"/>
          <w:rtl/>
          <w:lang w:bidi="fa-IR"/>
        </w:rPr>
        <w:softHyphen/>
        <w:t>توان قائل به کفايت مجرد مؤاکله شد، زيرا مؤاکله ظهوری در تمليک نفقه ندارد تا به اين واسطه قول زوج مقدم شود.</w:t>
      </w:r>
      <w:bookmarkEnd w:id="1"/>
      <w:bookmarkEnd w:id="2"/>
      <w:bookmarkEnd w:id="3"/>
    </w:p>
    <w:p w14:paraId="2AD04477" w14:textId="7D63A4A4" w:rsidR="00B706A3" w:rsidRPr="00024AEE" w:rsidRDefault="00B706A3" w:rsidP="00024AEE">
      <w:pPr>
        <w:rPr>
          <w:rtl/>
        </w:rPr>
      </w:pPr>
    </w:p>
    <w:sectPr w:rsidR="00B706A3" w:rsidRPr="00024AEE"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F14FD" w14:textId="77777777" w:rsidR="005B700D" w:rsidRDefault="005B700D" w:rsidP="00F71127">
      <w:pPr>
        <w:spacing w:after="0" w:line="240" w:lineRule="auto"/>
      </w:pPr>
      <w:r>
        <w:separator/>
      </w:r>
    </w:p>
  </w:endnote>
  <w:endnote w:type="continuationSeparator" w:id="0">
    <w:p w14:paraId="76EB776D" w14:textId="77777777" w:rsidR="005B700D" w:rsidRDefault="005B700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32BA1" w14:textId="77777777" w:rsidR="009667A0" w:rsidRDefault="009667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179D2" w14:textId="77777777" w:rsidR="009667A0" w:rsidRDefault="00966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A2D0B" w14:textId="77777777" w:rsidR="005B700D" w:rsidRDefault="005B700D" w:rsidP="00EE25C0">
      <w:pPr>
        <w:bidi/>
        <w:spacing w:after="0" w:line="240" w:lineRule="auto"/>
      </w:pPr>
      <w:r>
        <w:separator/>
      </w:r>
    </w:p>
  </w:footnote>
  <w:footnote w:type="continuationSeparator" w:id="0">
    <w:p w14:paraId="143BB08E" w14:textId="77777777" w:rsidR="005B700D" w:rsidRDefault="005B700D" w:rsidP="00F71127">
      <w:pPr>
        <w:bidi/>
        <w:spacing w:after="0" w:line="240" w:lineRule="auto"/>
      </w:pPr>
      <w:r>
        <w:continuationSeparator/>
      </w:r>
    </w:p>
  </w:footnote>
  <w:footnote w:id="1">
    <w:p w14:paraId="72849EA0" w14:textId="77777777" w:rsidR="00024AEE" w:rsidRDefault="00024AEE" w:rsidP="00024AEE">
      <w:pPr>
        <w:pStyle w:val="FootnoteText"/>
        <w:bidi/>
        <w:jc w:val="both"/>
        <w:rPr>
          <w:rFonts w:cs="Abz-2 (Badr)" w:hint="cs"/>
          <w:color w:val="000000" w:themeColor="text1"/>
          <w:rtl/>
          <w:lang w:bidi="fa-IR"/>
        </w:rPr>
      </w:pPr>
      <w:r>
        <w:rPr>
          <w:rStyle w:val="FootnoteReference"/>
          <w:rFonts w:cs="Abz-2 (Badr)"/>
          <w:color w:val="000000" w:themeColor="text1"/>
        </w:rPr>
        <w:footnoteRef/>
      </w:r>
      <w:r>
        <w:rPr>
          <w:rFonts w:cs="Abz-2 (Badr)"/>
          <w:color w:val="000000" w:themeColor="text1"/>
        </w:rPr>
        <w:t xml:space="preserve"> </w:t>
      </w:r>
      <w:r>
        <w:rPr>
          <w:rFonts w:cs="Abz-2 (Badr)" w:hint="cs"/>
          <w:color w:val="000000" w:themeColor="text1"/>
          <w:rtl/>
        </w:rPr>
        <w:t>ـ شرائع الإسلام،</w:t>
      </w:r>
      <w:r>
        <w:rPr>
          <w:rFonts w:cs="Abz-2 (Badr)" w:hint="cs"/>
          <w:color w:val="000000" w:themeColor="text1"/>
          <w:rtl/>
          <w:lang w:bidi="fa-IR"/>
        </w:rPr>
        <w:t>ج2،ص294.</w:t>
      </w:r>
    </w:p>
  </w:footnote>
  <w:footnote w:id="2">
    <w:p w14:paraId="64C66545" w14:textId="77777777" w:rsidR="00024AEE" w:rsidRDefault="00024AEE" w:rsidP="00024AEE">
      <w:pPr>
        <w:pStyle w:val="FootnoteText"/>
        <w:bidi/>
        <w:jc w:val="both"/>
        <w:rPr>
          <w:rFonts w:cs="Abz-2 (Badr)" w:hint="cs"/>
          <w:color w:val="000000" w:themeColor="text1"/>
          <w:rtl/>
          <w:lang w:bidi="fa-IR"/>
        </w:rPr>
      </w:pPr>
      <w:r>
        <w:rPr>
          <w:rStyle w:val="FootnoteReference"/>
          <w:rFonts w:cs="Abz-2 (Badr)"/>
          <w:color w:val="000000" w:themeColor="text1"/>
        </w:rPr>
        <w:footnoteRef/>
      </w:r>
      <w:r>
        <w:rPr>
          <w:rFonts w:cs="Abz-2 (Badr)"/>
          <w:color w:val="000000" w:themeColor="text1"/>
        </w:rPr>
        <w:t xml:space="preserve"> </w:t>
      </w:r>
      <w:r>
        <w:rPr>
          <w:rFonts w:cs="Abz-2 (Badr)" w:hint="cs"/>
          <w:color w:val="000000" w:themeColor="text1"/>
          <w:rtl/>
        </w:rPr>
        <w:t>ـ روضة الطالبين،</w:t>
      </w:r>
      <w:r>
        <w:rPr>
          <w:rFonts w:cs="Abz-2 (Badr)" w:hint="cs"/>
          <w:color w:val="000000" w:themeColor="text1"/>
          <w:rtl/>
          <w:lang w:bidi="fa-IR"/>
        </w:rPr>
        <w:t>ج9،ص53 و 54.</w:t>
      </w:r>
    </w:p>
  </w:footnote>
  <w:footnote w:id="3">
    <w:p w14:paraId="2A27FFBB" w14:textId="77777777" w:rsidR="00024AEE" w:rsidRDefault="00024AEE" w:rsidP="00024AEE">
      <w:pPr>
        <w:pStyle w:val="FootnoteText"/>
        <w:bidi/>
        <w:jc w:val="both"/>
        <w:rPr>
          <w:rFonts w:cs="Abz-2 (Badr)" w:hint="cs"/>
          <w:color w:val="000000" w:themeColor="text1"/>
          <w:rtl/>
          <w:lang w:bidi="fa-IR"/>
        </w:rPr>
      </w:pPr>
      <w:r>
        <w:rPr>
          <w:rStyle w:val="FootnoteReference"/>
          <w:rFonts w:cs="Abz-2 (Badr)"/>
          <w:color w:val="000000" w:themeColor="text1"/>
        </w:rPr>
        <w:footnoteRef/>
      </w:r>
      <w:r>
        <w:rPr>
          <w:rFonts w:cs="Abz-2 (Badr)"/>
          <w:color w:val="000000" w:themeColor="text1"/>
        </w:rPr>
        <w:t xml:space="preserve"> </w:t>
      </w:r>
      <w:r>
        <w:rPr>
          <w:rFonts w:cs="Abz-2 (Badr)" w:hint="cs"/>
          <w:color w:val="000000" w:themeColor="text1"/>
          <w:rtl/>
        </w:rPr>
        <w:t>ـ مبسوط،</w:t>
      </w:r>
      <w:r>
        <w:rPr>
          <w:rFonts w:cs="Abz-2 (Badr)" w:hint="cs"/>
          <w:color w:val="000000" w:themeColor="text1"/>
          <w:rtl/>
          <w:lang w:bidi="fa-IR"/>
        </w:rPr>
        <w:t>ج6،ص48 و 49.</w:t>
      </w:r>
    </w:p>
  </w:footnote>
  <w:footnote w:id="4">
    <w:p w14:paraId="5B8A5F7B" w14:textId="77777777" w:rsidR="00024AEE" w:rsidRDefault="00024AEE" w:rsidP="00024AEE">
      <w:pPr>
        <w:pStyle w:val="FootnoteText"/>
        <w:bidi/>
        <w:jc w:val="both"/>
        <w:rPr>
          <w:rFonts w:cs="Abz-2 (Badr)" w:hint="cs"/>
          <w:color w:val="000000" w:themeColor="text1"/>
          <w:rtl/>
          <w:lang w:bidi="fa-IR"/>
        </w:rPr>
      </w:pPr>
      <w:r>
        <w:rPr>
          <w:rStyle w:val="FootnoteReference"/>
          <w:rFonts w:cs="Abz-2 (Badr)"/>
          <w:color w:val="000000" w:themeColor="text1"/>
        </w:rPr>
        <w:footnoteRef/>
      </w:r>
      <w:r>
        <w:rPr>
          <w:rFonts w:cs="Abz-2 (Badr)"/>
          <w:color w:val="000000" w:themeColor="text1"/>
        </w:rPr>
        <w:t xml:space="preserve"> </w:t>
      </w:r>
      <w:r>
        <w:rPr>
          <w:rFonts w:cs="Abz-2 (Badr)" w:hint="cs"/>
          <w:color w:val="000000" w:themeColor="text1"/>
          <w:rtl/>
        </w:rPr>
        <w:t>ـ مسالك الأفهام،</w:t>
      </w:r>
      <w:r>
        <w:rPr>
          <w:rFonts w:cs="Abz-2 (Badr)" w:hint="cs"/>
          <w:color w:val="000000" w:themeColor="text1"/>
          <w:rtl/>
          <w:lang w:bidi="fa-IR"/>
        </w:rPr>
        <w:t>ج8،ص468.</w:t>
      </w:r>
    </w:p>
  </w:footnote>
  <w:footnote w:id="5">
    <w:p w14:paraId="667DD483" w14:textId="77777777" w:rsidR="00024AEE" w:rsidRDefault="00024AEE" w:rsidP="00024AEE">
      <w:pPr>
        <w:pStyle w:val="FootnoteText"/>
        <w:bidi/>
        <w:jc w:val="both"/>
        <w:rPr>
          <w:rFonts w:cs="Abz-2 (Badr)" w:hint="cs"/>
          <w:color w:val="000000" w:themeColor="text1"/>
          <w:rtl/>
          <w:lang w:bidi="fa-IR"/>
        </w:rPr>
      </w:pPr>
      <w:r>
        <w:rPr>
          <w:rStyle w:val="FootnoteReference"/>
          <w:rFonts w:cs="Abz-2 (Badr)"/>
          <w:color w:val="000000" w:themeColor="text1"/>
        </w:rPr>
        <w:footnoteRef/>
      </w:r>
      <w:r>
        <w:rPr>
          <w:rFonts w:cs="Abz-2 (Badr)"/>
          <w:color w:val="000000" w:themeColor="text1"/>
        </w:rPr>
        <w:t xml:space="preserve"> </w:t>
      </w:r>
      <w:r>
        <w:rPr>
          <w:rFonts w:cs="Abz-2 (Badr)" w:hint="cs"/>
          <w:color w:val="000000" w:themeColor="text1"/>
          <w:rtl/>
        </w:rPr>
        <w:t>ـ جواهر الكلام</w:t>
      </w:r>
      <w:r>
        <w:rPr>
          <w:rFonts w:cs="Abz-2 (Badr)" w:hint="cs"/>
          <w:color w:val="000000" w:themeColor="text1"/>
          <w:rtl/>
          <w:lang w:bidi="fa-IR"/>
        </w:rPr>
        <w:t>،ج31،ص351.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3D967" w14:textId="77777777" w:rsidR="009667A0" w:rsidRDefault="00966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5E4E30E4"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024AEE">
                            <w:rPr>
                              <w:rFonts w:cs="B Mehr" w:hint="cs"/>
                              <w:rtl/>
                              <w:lang w:bidi="fa-IR"/>
                            </w:rPr>
                            <w:t>یک</w:t>
                          </w:r>
                          <w:r w:rsidR="00A47935">
                            <w:rPr>
                              <w:rFonts w:cs="B Mehr" w:hint="cs"/>
                              <w:rtl/>
                              <w:lang w:bidi="fa-IR"/>
                            </w:rPr>
                            <w:t xml:space="preserve"> </w:t>
                          </w:r>
                          <w:r w:rsidR="002A767C">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24AEE">
                            <w:rPr>
                              <w:rFonts w:cs="B Mehr" w:hint="cs"/>
                              <w:rtl/>
                              <w:lang w:bidi="fa-IR"/>
                            </w:rPr>
                            <w:t>21</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5E4E30E4"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024AEE">
                      <w:rPr>
                        <w:rFonts w:cs="B Mehr" w:hint="cs"/>
                        <w:rtl/>
                        <w:lang w:bidi="fa-IR"/>
                      </w:rPr>
                      <w:t>یک</w:t>
                    </w:r>
                    <w:r w:rsidR="00A47935">
                      <w:rPr>
                        <w:rFonts w:cs="B Mehr" w:hint="cs"/>
                        <w:rtl/>
                        <w:lang w:bidi="fa-IR"/>
                      </w:rPr>
                      <w:t xml:space="preserve"> </w:t>
                    </w:r>
                    <w:r w:rsidR="002A767C">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24AEE">
                      <w:rPr>
                        <w:rFonts w:cs="B Mehr" w:hint="cs"/>
                        <w:rtl/>
                        <w:lang w:bidi="fa-IR"/>
                      </w:rPr>
                      <w:t>21</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727AA" w14:textId="77777777" w:rsidR="009667A0" w:rsidRDefault="00966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AEE"/>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A767C"/>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00D"/>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E70D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1F9B"/>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665D"/>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7A0"/>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47935"/>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7206352">
      <w:bodyDiv w:val="1"/>
      <w:marLeft w:val="0"/>
      <w:marRight w:val="0"/>
      <w:marTop w:val="0"/>
      <w:marBottom w:val="0"/>
      <w:divBdr>
        <w:top w:val="none" w:sz="0" w:space="0" w:color="auto"/>
        <w:left w:val="none" w:sz="0" w:space="0" w:color="auto"/>
        <w:bottom w:val="none" w:sz="0" w:space="0" w:color="auto"/>
        <w:right w:val="none" w:sz="0" w:space="0" w:color="auto"/>
      </w:divBdr>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3902608">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518823">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21738</TotalTime>
  <Pages>1</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723</cp:revision>
  <cp:lastPrinted>2025-04-14T09:12:00Z</cp:lastPrinted>
  <dcterms:created xsi:type="dcterms:W3CDTF">2022-10-16T08:36:00Z</dcterms:created>
  <dcterms:modified xsi:type="dcterms:W3CDTF">2026-01-18T17:47:00Z</dcterms:modified>
</cp:coreProperties>
</file>