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A81B" w14:textId="77777777" w:rsidR="00514486" w:rsidRDefault="00514486" w:rsidP="00514486">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AFCEE66" w14:textId="77777777" w:rsidR="00514486" w:rsidRDefault="00514486" w:rsidP="00514486">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45289AE" w14:textId="77777777" w:rsidR="00514486" w:rsidRDefault="00514486" w:rsidP="00514486">
      <w:pPr>
        <w:widowControl w:val="0"/>
        <w:bidi/>
        <w:spacing w:after="0"/>
        <w:jc w:val="center"/>
        <w:rPr>
          <w:rFonts w:cs="B Mitra" w:hint="cs"/>
          <w:b/>
          <w:bCs/>
          <w:sz w:val="32"/>
          <w:szCs w:val="32"/>
          <w:rtl/>
          <w:lang w:bidi="fa-IR"/>
        </w:rPr>
      </w:pPr>
      <w:r>
        <w:rPr>
          <w:rFonts w:cs="B Mitra" w:hint="cs"/>
          <w:b/>
          <w:bCs/>
          <w:sz w:val="32"/>
          <w:szCs w:val="32"/>
          <w:rtl/>
          <w:lang w:bidi="fa-IR"/>
        </w:rPr>
        <w:t>جلسه 897</w:t>
      </w:r>
    </w:p>
    <w:p w14:paraId="4D78D51E" w14:textId="77777777" w:rsidR="00514486" w:rsidRDefault="00514486" w:rsidP="00514486">
      <w:pPr>
        <w:widowControl w:val="0"/>
        <w:bidi/>
        <w:spacing w:after="0"/>
        <w:ind w:firstLine="284"/>
        <w:jc w:val="both"/>
        <w:rPr>
          <w:rFonts w:cs="Abz-2 (Badr)" w:hint="cs"/>
          <w:color w:val="000000" w:themeColor="text1"/>
          <w:sz w:val="28"/>
          <w:szCs w:val="28"/>
          <w:rtl/>
          <w:lang w:bidi="fa-IR"/>
        </w:rPr>
      </w:pPr>
      <w:bookmarkStart w:id="0" w:name="_Hlk159096966"/>
    </w:p>
    <w:p w14:paraId="2F94B1DF" w14:textId="77777777" w:rsidR="00514486" w:rsidRDefault="00514486" w:rsidP="00514486">
      <w:pPr>
        <w:widowControl w:val="0"/>
        <w:bidi/>
        <w:spacing w:after="0"/>
        <w:ind w:firstLine="284"/>
        <w:jc w:val="both"/>
        <w:rPr>
          <w:rFonts w:cs="Abz-2 (Badr)" w:hint="cs"/>
          <w:color w:val="000000" w:themeColor="text1"/>
          <w:sz w:val="28"/>
          <w:szCs w:val="28"/>
          <w:rtl/>
          <w:lang w:bidi="fa-IR"/>
        </w:rPr>
      </w:pPr>
      <w:bookmarkStart w:id="1" w:name="_Hlk217813422"/>
      <w:bookmarkStart w:id="2" w:name="_Hlk217856631"/>
      <w:bookmarkEnd w:id="0"/>
      <w:r>
        <w:rPr>
          <w:rFonts w:cs="Abz-2 (Badr)" w:hint="cs"/>
          <w:color w:val="000000" w:themeColor="text1"/>
          <w:sz w:val="28"/>
          <w:szCs w:val="28"/>
          <w:rtl/>
          <w:lang w:bidi="fa-IR"/>
        </w:rPr>
        <w:t>برای اين که کسوه را ملک زوجه بدانيم يا خير، ثمراتی در کلمات اصحاب ذکر شده است.</w:t>
      </w:r>
    </w:p>
    <w:p w14:paraId="767886E9" w14:textId="77777777" w:rsidR="00514486" w:rsidRDefault="00514486" w:rsidP="00514486">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 xml:space="preserve">1 ـ </w:t>
      </w:r>
      <w:r>
        <w:rPr>
          <w:rFonts w:cs="Abz-2 (Badr)" w:hint="cs"/>
          <w:color w:val="000000" w:themeColor="text1"/>
          <w:sz w:val="28"/>
          <w:szCs w:val="28"/>
          <w:rtl/>
          <w:lang w:bidi="fa-IR"/>
        </w:rPr>
        <w:t>گفته شده است که اگر کسوه ملک زوجه باشد، چنانچه قبل از مدتی که عادتاً آن لباس فرسوده می</w:t>
      </w:r>
      <w:r>
        <w:rPr>
          <w:rFonts w:cs="Abz-2 (Badr)" w:hint="cs"/>
          <w:color w:val="000000" w:themeColor="text1"/>
          <w:sz w:val="28"/>
          <w:szCs w:val="28"/>
          <w:rtl/>
          <w:lang w:bidi="fa-IR"/>
        </w:rPr>
        <w:softHyphen/>
        <w:t>شود، فرسوده شود، بنابر اين که کسوه را ملک زوجه بدانيم، بر زوج واجب نيست که لباس ديگری به او بدهد. اما چنانچه صرف امتاع را در کسوه لازم بدانيم، دادن لباسی ديگر بر زوج واجب خواهد بود.</w:t>
      </w:r>
    </w:p>
    <w:p w14:paraId="08DC7CC1" w14:textId="77777777" w:rsidR="00514486" w:rsidRDefault="00514486" w:rsidP="00514486">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fa-IR"/>
        </w:rPr>
        <w:t>اما صاحب جواهر با اشکال در اين مدعا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rPr>
        <w:t>فيه: أنّ المتّجه الإبدال عليهما مع فرض عدم التقصير في ذلك، وكون العادة تقتضي بقاؤها إلى المدّة لا يستلزم انحصار خطاب النفقة فيها، وإلا لكان المتّجه عدم الإبدال على التقديرين.»</w:t>
      </w:r>
      <w:r>
        <w:rPr>
          <w:rStyle w:val="FootnoteReference"/>
          <w:rFonts w:cs="Abz-2 (Badr)"/>
          <w:color w:val="000000" w:themeColor="text1"/>
          <w:sz w:val="28"/>
          <w:szCs w:val="28"/>
          <w:rtl/>
          <w:lang w:bidi="ar"/>
        </w:rPr>
        <w:footnoteReference w:id="1"/>
      </w:r>
    </w:p>
    <w:p w14:paraId="0DAA9F01" w14:textId="77777777" w:rsidR="00514486" w:rsidRDefault="00514486" w:rsidP="00514486">
      <w:pPr>
        <w:widowControl w:val="0"/>
        <w:bidi/>
        <w:spacing w:after="0"/>
        <w:ind w:firstLine="284"/>
        <w:jc w:val="both"/>
        <w:rPr>
          <w:rFonts w:cs="Abz-2 (Badr)" w:hint="cs"/>
          <w:color w:val="000000" w:themeColor="text1"/>
          <w:spacing w:val="-4"/>
          <w:sz w:val="28"/>
          <w:szCs w:val="28"/>
          <w:rtl/>
          <w:lang w:bidi="fa-IR"/>
        </w:rPr>
      </w:pPr>
      <w:bookmarkStart w:id="3" w:name="_Hlk217902960"/>
      <w:r>
        <w:rPr>
          <w:rFonts w:cs="Abz-2 (Badr)" w:hint="cs"/>
          <w:color w:val="000000" w:themeColor="text1"/>
          <w:spacing w:val="-4"/>
          <w:sz w:val="28"/>
          <w:szCs w:val="28"/>
          <w:rtl/>
          <w:lang w:bidi="fa-IR"/>
        </w:rPr>
        <w:t>اما اين اشکال وارد نيست؛ زيرا در فرضی که زوجه را مالک کسوه بدانيم، بعد از اين که زوج کسوه را در اختيار زوجه قرار داد، به وظيفه خود عمل نموده و تکليف از او ساقط می</w:t>
      </w:r>
      <w:r>
        <w:rPr>
          <w:rFonts w:cs="Abz-2 (Badr)" w:hint="cs"/>
          <w:color w:val="000000" w:themeColor="text1"/>
          <w:spacing w:val="-4"/>
          <w:sz w:val="28"/>
          <w:szCs w:val="28"/>
          <w:rtl/>
          <w:lang w:bidi="fa-IR"/>
        </w:rPr>
        <w:softHyphen/>
        <w:t>شود و برای اين که دوباره تکليفی متوجه وی شود، نيازمند دليل هستيم. نظير اين که زوج غذای زوجه را به او تحويل دهد و قبل از اين که زوجه آن را مصرف کند، به تلف سماوی از بين برود که در اين صورت دليلی برای اين که تکليفی ديگر برای دادن نفقه متوجه زوج شود و يا اين که زوج ضامن مال تالف باشد، وجود ندارد.</w:t>
      </w:r>
    </w:p>
    <w:p w14:paraId="65A2A741" w14:textId="77777777" w:rsidR="00514486" w:rsidRDefault="00514486" w:rsidP="00514486">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 xml:space="preserve"> اين در حالی که اگر وظيفه زوج را پوشاندن زوجه بدانيم، از آنجا که اين وظيفه آن به آن متوجه اوست، چنانچه امکان پوشاندن بدن زوجه ـ به نحوی که لايق شأن او باشد ـ با لباسی که فرسوده شده است، وجود نداشته باشد، بر زوج واجب است که چيزی را زوجه بتواند با آن بدن خود را بپوشاند در اختيار وی قرار دهد و مجرد اين که سابقاً لباسی را </w:t>
      </w:r>
      <w:r>
        <w:rPr>
          <w:rFonts w:cs="Abz-2 (Badr)" w:hint="cs"/>
          <w:color w:val="000000" w:themeColor="text1"/>
          <w:spacing w:val="-2"/>
          <w:sz w:val="28"/>
          <w:szCs w:val="28"/>
          <w:rtl/>
          <w:lang w:bidi="fa-IR"/>
        </w:rPr>
        <w:lastRenderedPageBreak/>
        <w:t>در اختيار او گذاشته که در حال حاضر امکان استفاده از آن برای زوجه وجود ندارد، مسقط تکليف زوج به نسبت به زمان حاضر نيست.</w:t>
      </w:r>
    </w:p>
    <w:p w14:paraId="2BF743CD" w14:textId="77777777" w:rsidR="00514486" w:rsidRDefault="00514486" w:rsidP="00514486">
      <w:pPr>
        <w:widowControl w:val="0"/>
        <w:bidi/>
        <w:spacing w:after="0"/>
        <w:ind w:firstLine="284"/>
        <w:jc w:val="both"/>
        <w:rPr>
          <w:rFonts w:cs="Abz-2 (Badr)" w:hint="cs"/>
          <w:color w:val="0070C0"/>
          <w:spacing w:val="-2"/>
          <w:sz w:val="28"/>
          <w:szCs w:val="28"/>
          <w:rtl/>
          <w:lang w:bidi="fa-IR"/>
        </w:rPr>
      </w:pPr>
      <w:r>
        <w:rPr>
          <w:rFonts w:cs="Abz-2 (Badr)" w:hint="cs"/>
          <w:color w:val="000000" w:themeColor="text1"/>
          <w:spacing w:val="-2"/>
          <w:sz w:val="28"/>
          <w:szCs w:val="28"/>
          <w:rtl/>
          <w:lang w:bidi="fa-IR"/>
        </w:rPr>
        <w:t xml:space="preserve">اما چنانچه فرسودگی لباس مذکور به واسطه تقصير زوجه در نگهداری از آن باشد، شهيد ثانی فرموده است: </w:t>
      </w:r>
      <w:r>
        <w:rPr>
          <w:rFonts w:cs="Abz-2 (Badr)" w:hint="cs"/>
          <w:color w:val="0070C0"/>
          <w:spacing w:val="-2"/>
          <w:sz w:val="28"/>
          <w:szCs w:val="28"/>
          <w:rtl/>
          <w:lang w:bidi="fa-IR"/>
        </w:rPr>
        <w:t>«</w:t>
      </w:r>
      <w:r>
        <w:rPr>
          <w:rFonts w:cs="Abz-2 (Badr)" w:hint="cs"/>
          <w:color w:val="0070C0"/>
          <w:spacing w:val="-2"/>
          <w:sz w:val="28"/>
          <w:szCs w:val="28"/>
          <w:rtl/>
          <w:lang w:bidi="ar"/>
        </w:rPr>
        <w:t>لو أتلفتها بنفسها فلا إبدال على القولين، لأنّه على الإمتاع يلزمها ضمانها، فكأنّها لم تتلف، مع احتماله، لأنّ الواجب عليها القيمة وعليه المثل.</w:t>
      </w:r>
    </w:p>
    <w:p w14:paraId="47F0EB7C" w14:textId="77777777" w:rsidR="00514486" w:rsidRDefault="00514486" w:rsidP="00514486">
      <w:pPr>
        <w:widowControl w:val="0"/>
        <w:bidi/>
        <w:spacing w:after="0"/>
        <w:ind w:firstLine="284"/>
        <w:jc w:val="both"/>
        <w:rPr>
          <w:rFonts w:cs="Abz-2 (Badr)"/>
          <w:color w:val="0070C0"/>
          <w:spacing w:val="-2"/>
          <w:sz w:val="28"/>
          <w:szCs w:val="28"/>
          <w:lang w:bidi="fa-IR"/>
        </w:rPr>
      </w:pPr>
      <w:r>
        <w:rPr>
          <w:rFonts w:cs="Abz-2 (Badr)" w:hint="cs"/>
          <w:color w:val="0070C0"/>
          <w:spacing w:val="-2"/>
          <w:sz w:val="28"/>
          <w:szCs w:val="28"/>
          <w:rtl/>
          <w:lang w:bidi="ar"/>
        </w:rPr>
        <w:t>ولو تخرّقت قبل مجيء وقته لكثرة تحاملها عليها زيادة على المعتاد، أو قصّرت في حفظها ونشرها في الهواء حيث تفتقر إليه فهو كما لو أتلفتها.»</w:t>
      </w:r>
      <w:r>
        <w:rPr>
          <w:rStyle w:val="FootnoteReference"/>
          <w:rFonts w:cs="Abz-2 (Badr)"/>
          <w:color w:val="000000" w:themeColor="text1"/>
          <w:sz w:val="28"/>
          <w:szCs w:val="28"/>
          <w:rtl/>
          <w:lang w:bidi="ar"/>
        </w:rPr>
        <w:footnoteReference w:id="2"/>
      </w:r>
    </w:p>
    <w:p w14:paraId="0086CFFD" w14:textId="77777777" w:rsidR="00514486" w:rsidRDefault="00514486" w:rsidP="00514486">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در بين دو احتمالی که در کلام شهيد ثانی بنابر وجوب امتاع آمده است، حق اين است که احتمال دوم متعيّن است.</w:t>
      </w:r>
    </w:p>
    <w:p w14:paraId="4EE5CB84" w14:textId="77777777" w:rsidR="00514486" w:rsidRDefault="00514486" w:rsidP="00514486">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B050"/>
          <w:spacing w:val="-2"/>
          <w:sz w:val="28"/>
          <w:szCs w:val="28"/>
          <w:rtl/>
          <w:lang w:bidi="fa-IR"/>
        </w:rPr>
        <w:t xml:space="preserve">2 ـ </w:t>
      </w:r>
      <w:r>
        <w:rPr>
          <w:rFonts w:cs="Abz-2 (Badr)" w:hint="cs"/>
          <w:color w:val="000000" w:themeColor="text1"/>
          <w:spacing w:val="-2"/>
          <w:sz w:val="28"/>
          <w:szCs w:val="28"/>
          <w:rtl/>
          <w:lang w:bidi="fa-IR"/>
        </w:rPr>
        <w:t>چنانچه مدتی که لباس در آن عادتاً فرسوده می</w:t>
      </w:r>
      <w:r>
        <w:rPr>
          <w:rFonts w:cs="Abz-2 (Badr)" w:hint="cs"/>
          <w:color w:val="000000" w:themeColor="text1"/>
          <w:spacing w:val="-2"/>
          <w:sz w:val="28"/>
          <w:szCs w:val="28"/>
          <w:rtl/>
          <w:lang w:bidi="fa-IR"/>
        </w:rPr>
        <w:softHyphen/>
        <w:t>شود، منقضی شود و لباس فرسوده نشده باشد و قابل استفاده باشد، چنانچه قائل به ملکيت زوجه بر لباس باشيم، زوجه حق دارد که لباسی ديگر به عنوان نفقه از زوج مطالبه نمايد، اما اگر قائل به اين باشيم که در کسوه مجرد امتاع بر زوج واجب است، مادامی که لباس مذکور قابل استفاده باشد، زوج وظيفه</w:t>
      </w:r>
      <w:r>
        <w:rPr>
          <w:rFonts w:cs="Abz-2 (Badr)" w:hint="cs"/>
          <w:color w:val="000000" w:themeColor="text1"/>
          <w:spacing w:val="-2"/>
          <w:sz w:val="28"/>
          <w:szCs w:val="28"/>
          <w:rtl/>
          <w:lang w:bidi="fa-IR"/>
        </w:rPr>
        <w:softHyphen/>
        <w:t>ای برای دادن لباسی ديگر به زوجه ندارد.</w:t>
      </w:r>
    </w:p>
    <w:p w14:paraId="60BD600B" w14:textId="77777777" w:rsidR="00514486" w:rsidRDefault="00514486" w:rsidP="00514486">
      <w:pPr>
        <w:widowControl w:val="0"/>
        <w:bidi/>
        <w:spacing w:after="0" w:line="252" w:lineRule="auto"/>
        <w:ind w:firstLine="284"/>
        <w:jc w:val="both"/>
        <w:rPr>
          <w:rFonts w:cs="Abz-2 (Badr)" w:hint="cs"/>
          <w:color w:val="0070C0"/>
          <w:spacing w:val="-2"/>
          <w:sz w:val="28"/>
          <w:szCs w:val="28"/>
          <w:rtl/>
          <w:lang w:bidi="ar"/>
        </w:rPr>
      </w:pPr>
      <w:r>
        <w:rPr>
          <w:rFonts w:cs="Abz-2 (Badr)" w:hint="cs"/>
          <w:color w:val="000000" w:themeColor="text1"/>
          <w:spacing w:val="-2"/>
          <w:sz w:val="28"/>
          <w:szCs w:val="28"/>
          <w:rtl/>
          <w:lang w:bidi="fa-IR"/>
        </w:rPr>
        <w:t xml:space="preserve">شهيد ثانی در اين خصوص فرموده است: </w:t>
      </w:r>
      <w:r>
        <w:rPr>
          <w:rFonts w:cs="Abz-2 (Badr)" w:hint="cs"/>
          <w:color w:val="0070C0"/>
          <w:spacing w:val="-2"/>
          <w:sz w:val="28"/>
          <w:szCs w:val="28"/>
          <w:rtl/>
          <w:lang w:bidi="fa-IR"/>
        </w:rPr>
        <w:t>«</w:t>
      </w:r>
      <w:r>
        <w:rPr>
          <w:rFonts w:cs="Abz-2 (Badr)" w:hint="cs"/>
          <w:color w:val="0070C0"/>
          <w:spacing w:val="-2"/>
          <w:sz w:val="28"/>
          <w:szCs w:val="28"/>
          <w:rtl/>
          <w:lang w:bidi="ar"/>
        </w:rPr>
        <w:t>لو انقضت المدّة والكسوة باقية لرفقها بها، فعليه كسوة أُخرى على الأوّل، وهو الذي حكم به المصنّف، لأنّ ملكها لها مترتّب على المدّة المعتادة لها، كما لو استفضلت من طعام يومها.</w:t>
      </w:r>
    </w:p>
    <w:p w14:paraId="5C1A6A2D" w14:textId="77777777" w:rsidR="00514486" w:rsidRDefault="00514486" w:rsidP="00514486">
      <w:pPr>
        <w:widowControl w:val="0"/>
        <w:bidi/>
        <w:spacing w:after="0" w:line="252" w:lineRule="auto"/>
        <w:ind w:firstLine="284"/>
        <w:jc w:val="both"/>
        <w:rPr>
          <w:rFonts w:cs="Abz-2 (Badr)" w:hint="cs"/>
          <w:color w:val="0070C0"/>
          <w:spacing w:val="-2"/>
          <w:sz w:val="28"/>
          <w:szCs w:val="28"/>
          <w:rtl/>
          <w:lang w:bidi="fa-IR"/>
        </w:rPr>
      </w:pPr>
      <w:r>
        <w:rPr>
          <w:rFonts w:cs="Abz-2 (Badr)" w:hint="cs"/>
          <w:color w:val="0070C0"/>
          <w:spacing w:val="-2"/>
          <w:sz w:val="28"/>
          <w:szCs w:val="28"/>
          <w:rtl/>
          <w:lang w:bidi="ar"/>
        </w:rPr>
        <w:t>وعلى الثاني لا يلزمه حتّى يبلى ما عندها. لكن لو كانت الأُولى كسوة الصيف مثلاً ولا تصلح للشتاء، فعليه أن يعطيها ما يقصد للشتاء، أو يزيدها عليها إن كانت تصلح له مع غيرها.»</w:t>
      </w:r>
      <w:r>
        <w:rPr>
          <w:rStyle w:val="FootnoteReference"/>
          <w:rFonts w:cs="Abz-2 (Badr)"/>
          <w:color w:val="000000" w:themeColor="text1"/>
          <w:sz w:val="28"/>
          <w:szCs w:val="28"/>
          <w:rtl/>
          <w:lang w:bidi="ar"/>
        </w:rPr>
        <w:footnoteReference w:id="3"/>
      </w:r>
    </w:p>
    <w:p w14:paraId="7C681490" w14:textId="77777777" w:rsidR="00514486" w:rsidRDefault="00514486" w:rsidP="00514486">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علامه در ارشاد با اين که قائل به وجوب صرف امتاع در مورد کسوه شده است، در خصوص اين فرع و همچين فرع سابق می</w:t>
      </w:r>
      <w:r>
        <w:rPr>
          <w:rFonts w:cs="Abz-2 (Badr)" w:hint="cs"/>
          <w:color w:val="000000" w:themeColor="text1"/>
          <w:spacing w:val="-2"/>
          <w:sz w:val="28"/>
          <w:szCs w:val="28"/>
          <w:rtl/>
          <w:lang w:bidi="fa-IR"/>
        </w:rPr>
        <w:softHyphen/>
        <w:t xml:space="preserve">فرمايد: </w:t>
      </w:r>
      <w:r>
        <w:rPr>
          <w:rFonts w:cs="Abz-2 (Badr)" w:hint="cs"/>
          <w:color w:val="0070C0"/>
          <w:spacing w:val="-2"/>
          <w:sz w:val="28"/>
          <w:szCs w:val="28"/>
          <w:rtl/>
          <w:lang w:bidi="fa-IR"/>
        </w:rPr>
        <w:t>«</w:t>
      </w:r>
      <w:r>
        <w:rPr>
          <w:rFonts w:cs="Abz-2 (Badr)" w:hint="cs"/>
          <w:color w:val="0070C0"/>
          <w:spacing w:val="-2"/>
          <w:sz w:val="28"/>
          <w:szCs w:val="28"/>
          <w:rtl/>
          <w:lang w:bidi="ar"/>
        </w:rPr>
        <w:t>لو أخلقت</w:t>
      </w:r>
      <w:r>
        <w:rPr>
          <w:rFonts w:cs="Abz-2 (Badr)" w:hint="cs"/>
          <w:color w:val="0070C0"/>
          <w:spacing w:val="-2"/>
          <w:sz w:val="28"/>
          <w:szCs w:val="28"/>
          <w:vertAlign w:val="superscript"/>
          <w:rtl/>
          <w:lang w:bidi="ar"/>
        </w:rPr>
        <w:t xml:space="preserve">  </w:t>
      </w:r>
      <w:r>
        <w:rPr>
          <w:rFonts w:cs="Abz-2 (Badr)" w:hint="cs"/>
          <w:color w:val="0070C0"/>
          <w:spacing w:val="-2"/>
          <w:sz w:val="28"/>
          <w:szCs w:val="28"/>
          <w:rtl/>
          <w:lang w:bidi="ar"/>
        </w:rPr>
        <w:t>الكسوة قبل المدّة المضروبة لم يجب البدل، ولو انقضت وهي باقية، فلها المطالبة بأُخرى.»</w:t>
      </w:r>
      <w:r>
        <w:rPr>
          <w:rStyle w:val="FootnoteReference"/>
          <w:rFonts w:cs="Abz-2 (Badr)"/>
          <w:color w:val="000000" w:themeColor="text1"/>
          <w:sz w:val="28"/>
          <w:szCs w:val="28"/>
          <w:rtl/>
          <w:lang w:bidi="ar"/>
        </w:rPr>
        <w:footnoteReference w:id="4"/>
      </w:r>
    </w:p>
    <w:p w14:paraId="3FE9DECF" w14:textId="77777777" w:rsidR="00514486" w:rsidRDefault="00514486" w:rsidP="00514486">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lastRenderedPageBreak/>
        <w:t>به همين جهت صاحب مسال</w:t>
      </w:r>
      <w:r>
        <w:rPr>
          <w:rFonts w:cs="Abz-2 (Badr)" w:hint="cs"/>
          <w:color w:val="000000" w:themeColor="text1"/>
          <w:spacing w:val="-2"/>
          <w:sz w:val="28"/>
          <w:szCs w:val="28"/>
          <w:rtl/>
        </w:rPr>
        <w:t xml:space="preserve">ك </w:t>
      </w:r>
      <w:r>
        <w:rPr>
          <w:rFonts w:cs="Abz-2 (Badr)" w:hint="cs"/>
          <w:color w:val="000000" w:themeColor="text1"/>
          <w:spacing w:val="-2"/>
          <w:sz w:val="28"/>
          <w:szCs w:val="28"/>
          <w:rtl/>
          <w:lang w:bidi="fa-IR"/>
        </w:rPr>
        <w:t>می</w:t>
      </w:r>
      <w:r>
        <w:rPr>
          <w:rFonts w:cs="Abz-2 (Badr)" w:hint="cs"/>
          <w:color w:val="000000" w:themeColor="text1"/>
          <w:spacing w:val="-2"/>
          <w:sz w:val="28"/>
          <w:szCs w:val="28"/>
          <w:rtl/>
          <w:lang w:bidi="fa-IR"/>
        </w:rPr>
        <w:softHyphen/>
        <w:t>فرمايد: شايد محقق نيز به مانند علامه با وجود اين که قائل به صرف امتاع است، در اين فرع حکم به جواز مطالبه لباسی ديگر توسط زوجه کرده است، و نمی</w:t>
      </w:r>
      <w:r>
        <w:rPr>
          <w:rFonts w:cs="Abz-2 (Badr)" w:hint="cs"/>
          <w:color w:val="000000" w:themeColor="text1"/>
          <w:spacing w:val="-2"/>
          <w:sz w:val="28"/>
          <w:szCs w:val="28"/>
          <w:rtl/>
          <w:lang w:bidi="fa-IR"/>
        </w:rPr>
        <w:softHyphen/>
        <w:t>توان به صرف اين که در اين مسأله قائل به جواز مطالبه لباسی ديگر شده، و يا در فرع سابق قائل به عدم جواز مطالبه شده است، وی را قائل به تملّک کسوه توسط زوجه دانست.</w:t>
      </w:r>
      <w:r>
        <w:rPr>
          <w:rStyle w:val="FootnoteReference"/>
          <w:rFonts w:cs="Abz-2 (Badr)"/>
          <w:color w:val="000000" w:themeColor="text1"/>
          <w:sz w:val="28"/>
          <w:szCs w:val="28"/>
          <w:rtl/>
          <w:lang w:bidi="ar"/>
        </w:rPr>
        <w:footnoteReference w:id="5"/>
      </w:r>
    </w:p>
    <w:p w14:paraId="0A1586D7" w14:textId="77777777" w:rsidR="00514486" w:rsidRDefault="00514486" w:rsidP="00514486">
      <w:pPr>
        <w:widowControl w:val="0"/>
        <w:bidi/>
        <w:spacing w:after="0" w:line="252" w:lineRule="auto"/>
        <w:ind w:firstLine="284"/>
        <w:jc w:val="both"/>
        <w:rPr>
          <w:rFonts w:cs="Abz-2 (Badr)" w:hint="cs"/>
          <w:color w:val="0070C0"/>
          <w:spacing w:val="-2"/>
          <w:sz w:val="28"/>
          <w:szCs w:val="28"/>
          <w:rtl/>
        </w:rPr>
      </w:pPr>
      <w:r>
        <w:rPr>
          <w:rFonts w:cs="Abz-2 (Badr)" w:hint="cs"/>
          <w:color w:val="000000" w:themeColor="text1"/>
          <w:spacing w:val="-2"/>
          <w:sz w:val="28"/>
          <w:szCs w:val="28"/>
          <w:rtl/>
          <w:lang w:bidi="fa-IR"/>
        </w:rPr>
        <w:t>اما صاحب جواهر می</w:t>
      </w:r>
      <w:r>
        <w:rPr>
          <w:rFonts w:cs="Abz-2 (Badr)" w:hint="cs"/>
          <w:color w:val="000000" w:themeColor="text1"/>
          <w:spacing w:val="-2"/>
          <w:sz w:val="28"/>
          <w:szCs w:val="28"/>
          <w:rtl/>
          <w:lang w:bidi="fa-IR"/>
        </w:rPr>
        <w:softHyphen/>
        <w:t xml:space="preserve">فرمايد: </w:t>
      </w:r>
      <w:r>
        <w:rPr>
          <w:rFonts w:cs="Abz-2 (Badr)" w:hint="cs"/>
          <w:color w:val="0070C0"/>
          <w:spacing w:val="-2"/>
          <w:sz w:val="28"/>
          <w:szCs w:val="28"/>
          <w:rtl/>
          <w:lang w:bidi="fa-IR"/>
        </w:rPr>
        <w:t>«</w:t>
      </w:r>
      <w:r>
        <w:rPr>
          <w:rFonts w:cs="Abz-2 (Badr)" w:hint="cs"/>
          <w:color w:val="0070C0"/>
          <w:spacing w:val="-2"/>
          <w:sz w:val="28"/>
          <w:szCs w:val="28"/>
          <w:rtl/>
        </w:rPr>
        <w:t>فيه أيضاً: أنّ ذلك إن كان لاتّفاق حسن الكسوة وعدم عروض ما اقتضى خلقها، أمكن منع وجوب الإبدال على الأوّل أيضاً، ضرورة أنّ ملكها لها على جهة الإنفاق لا مطلقاً، ولا تقدير للمدّة شرعاً وإنّما هو يزعم بقاء الكسوة إليها، فمع فرض اتّفاق بقائها إليها لا دليل على خطابه بالإنفاق.</w:t>
      </w:r>
    </w:p>
    <w:p w14:paraId="76E29F33" w14:textId="77777777" w:rsidR="00514486" w:rsidRDefault="00514486" w:rsidP="00514486">
      <w:pPr>
        <w:widowControl w:val="0"/>
        <w:bidi/>
        <w:spacing w:after="0" w:line="252" w:lineRule="auto"/>
        <w:ind w:firstLine="284"/>
        <w:jc w:val="both"/>
        <w:rPr>
          <w:rFonts w:cs="Abz-2 (Badr)" w:hint="cs"/>
          <w:color w:val="0070C0"/>
          <w:spacing w:val="-2"/>
          <w:sz w:val="28"/>
          <w:szCs w:val="28"/>
          <w:rtl/>
        </w:rPr>
      </w:pPr>
      <w:r>
        <w:rPr>
          <w:rFonts w:cs="Abz-2 (Badr)" w:hint="cs"/>
          <w:color w:val="0070C0"/>
          <w:spacing w:val="-2"/>
          <w:sz w:val="28"/>
          <w:szCs w:val="28"/>
          <w:rtl/>
        </w:rPr>
        <w:t>نعم، لو استفضلت ذلك بلبس ثياب منها أو بتحمّل العري أو نحو ذلك، أمكن حينئذٍ القول بأنّ لها المطالبة على الملك، لنحو ما سمعته في استفضال الطعام.»</w:t>
      </w:r>
      <w:r>
        <w:rPr>
          <w:rStyle w:val="FootnoteReference"/>
          <w:rFonts w:cs="Abz-2 (Badr)"/>
          <w:color w:val="000000" w:themeColor="text1"/>
          <w:sz w:val="28"/>
          <w:szCs w:val="28"/>
          <w:rtl/>
          <w:lang w:bidi="ar"/>
        </w:rPr>
        <w:footnoteReference w:id="6"/>
      </w:r>
    </w:p>
    <w:p w14:paraId="6F025119" w14:textId="77777777" w:rsidR="00514486" w:rsidRDefault="00514486" w:rsidP="00514486">
      <w:pPr>
        <w:widowControl w:val="0"/>
        <w:bidi/>
        <w:spacing w:after="0" w:line="252" w:lineRule="auto"/>
        <w:ind w:firstLine="284"/>
        <w:jc w:val="both"/>
        <w:rPr>
          <w:rFonts w:cs="Abz-2 (Badr)"/>
          <w:color w:val="000000" w:themeColor="text1"/>
          <w:spacing w:val="-2"/>
          <w:sz w:val="28"/>
          <w:szCs w:val="28"/>
          <w:lang w:bidi="fa-IR"/>
        </w:rPr>
      </w:pPr>
      <w:r>
        <w:rPr>
          <w:rFonts w:cs="Abz-2 (Badr)" w:hint="cs"/>
          <w:color w:val="000000" w:themeColor="text1"/>
          <w:spacing w:val="-2"/>
          <w:sz w:val="28"/>
          <w:szCs w:val="28"/>
          <w:rtl/>
          <w:lang w:bidi="fa-IR"/>
        </w:rPr>
        <w:t>نقد کلمات ايشان را به جلسه آينده واگذار می</w:t>
      </w:r>
      <w:r>
        <w:rPr>
          <w:rFonts w:cs="Abz-2 (Badr)" w:hint="cs"/>
          <w:color w:val="000000" w:themeColor="text1"/>
          <w:spacing w:val="-2"/>
          <w:sz w:val="28"/>
          <w:szCs w:val="28"/>
          <w:rtl/>
          <w:lang w:bidi="fa-IR"/>
        </w:rPr>
        <w:softHyphen/>
        <w:t>کنيم ان شاء الله.</w:t>
      </w:r>
    </w:p>
    <w:bookmarkEnd w:id="3"/>
    <w:p w14:paraId="46EE29BD" w14:textId="77777777" w:rsidR="00514486" w:rsidRDefault="00514486" w:rsidP="00514486">
      <w:pPr>
        <w:rPr>
          <w:rFonts w:cs="Abz-2 (Badr)" w:hint="cs"/>
          <w:color w:val="000000" w:themeColor="text1"/>
          <w:spacing w:val="-2"/>
          <w:sz w:val="28"/>
          <w:szCs w:val="28"/>
          <w:rtl/>
        </w:rPr>
      </w:pPr>
      <w:r>
        <w:rPr>
          <w:rFonts w:cs="Abz-2 (Badr)" w:hint="cs"/>
          <w:color w:val="000000" w:themeColor="text1"/>
          <w:spacing w:val="-2"/>
          <w:sz w:val="28"/>
          <w:szCs w:val="28"/>
          <w:rtl/>
        </w:rPr>
        <w:br w:type="page"/>
      </w:r>
    </w:p>
    <w:p w14:paraId="39C402AA" w14:textId="77777777" w:rsidR="00514486" w:rsidRDefault="00514486" w:rsidP="00514486">
      <w:pPr>
        <w:widowControl w:val="0"/>
        <w:bidi/>
        <w:spacing w:after="0"/>
        <w:ind w:firstLine="284"/>
        <w:jc w:val="both"/>
        <w:rPr>
          <w:rFonts w:cs="Abz-2 (Badr)" w:hint="cs"/>
          <w:color w:val="000000" w:themeColor="text1"/>
          <w:spacing w:val="-2"/>
          <w:sz w:val="28"/>
          <w:szCs w:val="28"/>
          <w:rtl/>
        </w:rPr>
      </w:pPr>
      <w:r>
        <w:rPr>
          <w:rFonts w:cs="Abz-2 (Badr)" w:hint="cs"/>
          <w:color w:val="000000" w:themeColor="text1"/>
          <w:spacing w:val="-2"/>
          <w:sz w:val="28"/>
          <w:szCs w:val="28"/>
          <w:rtl/>
        </w:rPr>
        <w:lastRenderedPageBreak/>
        <w:t>قد ذكرت في کلمات الأصحاب ثمرات للخلاف في أنّ الكسوة هل هي ملك للزوجة أم لا.</w:t>
      </w:r>
    </w:p>
    <w:p w14:paraId="2FA706C8" w14:textId="77777777" w:rsidR="00514486" w:rsidRDefault="00514486" w:rsidP="00514486">
      <w:pPr>
        <w:widowControl w:val="0"/>
        <w:bidi/>
        <w:spacing w:after="0"/>
        <w:ind w:firstLine="284"/>
        <w:jc w:val="both"/>
        <w:rPr>
          <w:rFonts w:cs="Abz-2 (Badr)"/>
          <w:color w:val="000000" w:themeColor="text1"/>
          <w:spacing w:val="-2"/>
          <w:sz w:val="28"/>
          <w:szCs w:val="28"/>
        </w:rPr>
      </w:pPr>
      <w:r>
        <w:rPr>
          <w:rFonts w:cs="Abz-2 (Badr)" w:hint="cs"/>
          <w:color w:val="00B050"/>
          <w:spacing w:val="-2"/>
          <w:sz w:val="28"/>
          <w:szCs w:val="28"/>
          <w:rtl/>
        </w:rPr>
        <w:t>منها:</w:t>
      </w:r>
      <w:r>
        <w:rPr>
          <w:rFonts w:cs="Abz-2 (Badr)" w:hint="cs"/>
          <w:color w:val="000000" w:themeColor="text1"/>
          <w:spacing w:val="-2"/>
          <w:sz w:val="28"/>
          <w:szCs w:val="28"/>
          <w:rtl/>
        </w:rPr>
        <w:t xml:space="preserve"> أنّه إذا كانت الكسوة ملكاً للزوجة ثمّ بليت قبل المدّة التي تبلى فيها الکسوة عادة، فعلى القول بملكيّتها لها لا يجب على الزوج أن يعطيها کسوة أُخری. وأمّا إذا قلنا: إنّ الواجب في الكسوة هو مجرّد الإمتاع، فيجب على الزوج حينئذٍ أن يدفع لها کسوة أُخری.</w:t>
      </w:r>
    </w:p>
    <w:p w14:paraId="35BBE406" w14:textId="77777777" w:rsidR="00514486" w:rsidRDefault="00514486" w:rsidP="00514486">
      <w:pPr>
        <w:widowControl w:val="0"/>
        <w:bidi/>
        <w:spacing w:after="0"/>
        <w:ind w:firstLine="284"/>
        <w:jc w:val="both"/>
        <w:rPr>
          <w:rFonts w:cs="Abz-2 (Badr)" w:hint="cs"/>
          <w:color w:val="0070C0"/>
          <w:sz w:val="28"/>
          <w:szCs w:val="28"/>
          <w:rtl/>
        </w:rPr>
      </w:pPr>
      <w:r>
        <w:rPr>
          <w:rFonts w:cs="Abz-2 (Badr)" w:hint="cs"/>
          <w:color w:val="000000" w:themeColor="text1"/>
          <w:sz w:val="28"/>
          <w:szCs w:val="28"/>
          <w:rtl/>
        </w:rPr>
        <w:t>غير</w:t>
      </w:r>
      <w:r>
        <w:rPr>
          <w:rFonts w:cs="Abz-2 (Badr)" w:hint="cs"/>
          <w:color w:val="000000" w:themeColor="text1"/>
          <w:sz w:val="28"/>
          <w:szCs w:val="28"/>
          <w:rtl/>
          <w:lang w:bidi="fa-IR"/>
        </w:rPr>
        <w:t xml:space="preserve"> أنّ صاحب جواهر أشکل في هذه الدعوی حيث قال: </w:t>
      </w:r>
      <w:r>
        <w:rPr>
          <w:rFonts w:cs="Abz-2 (Badr)" w:hint="cs"/>
          <w:color w:val="0070C0"/>
          <w:sz w:val="28"/>
          <w:szCs w:val="28"/>
          <w:rtl/>
          <w:lang w:bidi="fa-IR"/>
        </w:rPr>
        <w:t>«</w:t>
      </w:r>
      <w:r>
        <w:rPr>
          <w:rFonts w:cs="Abz-2 (Badr)" w:hint="cs"/>
          <w:color w:val="0070C0"/>
          <w:sz w:val="28"/>
          <w:szCs w:val="28"/>
          <w:rtl/>
        </w:rPr>
        <w:t>فيه: أنّ المتّجه الإبدال عليهما مع فرض عدم التقصير في ذلك، وكون العادة تقتضي بقاؤها إلى المدّة لا يستلزم انحصار خطاب النفقة فيها، وإلا لكان المتّجه عدم الإبدال على التقديرين.»</w:t>
      </w:r>
      <w:r>
        <w:rPr>
          <w:rStyle w:val="FootnoteReference"/>
          <w:rFonts w:cs="Abz-2 (Badr)"/>
          <w:color w:val="000000" w:themeColor="text1"/>
          <w:sz w:val="28"/>
          <w:szCs w:val="28"/>
          <w:rtl/>
          <w:lang w:bidi="ar"/>
        </w:rPr>
        <w:footnoteReference w:id="7"/>
      </w:r>
    </w:p>
    <w:p w14:paraId="04278AF5" w14:textId="77777777" w:rsidR="00514486" w:rsidRDefault="00514486" w:rsidP="00514486">
      <w:pPr>
        <w:widowControl w:val="0"/>
        <w:bidi/>
        <w:spacing w:after="0"/>
        <w:ind w:firstLine="284"/>
        <w:jc w:val="both"/>
        <w:rPr>
          <w:rFonts w:cs="Abz-2 (Badr)" w:hint="cs"/>
          <w:color w:val="000000" w:themeColor="text1"/>
          <w:spacing w:val="-4"/>
          <w:sz w:val="28"/>
          <w:szCs w:val="28"/>
          <w:rtl/>
        </w:rPr>
      </w:pPr>
      <w:r>
        <w:rPr>
          <w:rFonts w:cs="Abz-2 (Badr)" w:hint="cs"/>
          <w:color w:val="000000" w:themeColor="text1"/>
          <w:spacing w:val="-4"/>
          <w:sz w:val="28"/>
          <w:szCs w:val="28"/>
          <w:rtl/>
        </w:rPr>
        <w:t>لكن هذا الإشكال غير وارد؛ لأنّه على فرض أن نعدّ الزوجة مالكة للكسوة، فإذا وضع الزوج الكسوة تحت يدها، فقد أدّى وظيفته وسقط التكليف عنه ولابدّ لتوجّه تكليف جديد إليه من التماس دليل آخر. وذلك نظير ما لو سلّم الزوج طعام الزوجة إليها ثمّ تلف قبل أن تأکله بتلف سماوي، فإنّه لا دليل حينئذٍ على تعلّق تكليف آخر بالزوج بإعطاء نفقة جديدة لها، ولا على ضمانه للمال التالف.</w:t>
      </w:r>
    </w:p>
    <w:p w14:paraId="7C0A8522" w14:textId="77777777" w:rsidR="00514486" w:rsidRDefault="00514486" w:rsidP="00514486">
      <w:pPr>
        <w:widowControl w:val="0"/>
        <w:bidi/>
        <w:spacing w:after="0"/>
        <w:ind w:firstLine="284"/>
        <w:jc w:val="both"/>
        <w:rPr>
          <w:rFonts w:cs="Abz-2 (Badr)"/>
          <w:color w:val="000000" w:themeColor="text1"/>
          <w:spacing w:val="-2"/>
          <w:sz w:val="28"/>
          <w:szCs w:val="28"/>
          <w:lang w:bidi="fa-IR"/>
        </w:rPr>
      </w:pPr>
      <w:r>
        <w:rPr>
          <w:rFonts w:cs="Abz-2 (Badr)" w:hint="cs"/>
          <w:color w:val="000000" w:themeColor="text1"/>
          <w:spacing w:val="-4"/>
          <w:sz w:val="28"/>
          <w:szCs w:val="28"/>
          <w:rtl/>
        </w:rPr>
        <w:t>وأمّا إذا قلنا: إنّ وظيفة الزوج هي مجرّد اکتساء الزوجة، فمن حيث إنّ هذا التكليف يتوجّه إليه آناً فآناً، فلو لم يمكن ستر بدن الزوجة ـ على الوجه اللائق بشأنها ـ بالکسوة التي بليت، وجب على الزوج أن يضع تحت يدها ما تتمكّن به من ستر بدنها. ومجرّد أنّه كان قد وضع سابقاً کسوة تحت يدها لا يمكنها الانتفاع به في الحال، لا يسقط تكليف الزوج بالنسبة إلى الزمان الحاضر</w:t>
      </w:r>
      <w:r>
        <w:rPr>
          <w:rFonts w:cs="Abz-2 (Badr)" w:hint="cs"/>
          <w:color w:val="000000" w:themeColor="text1"/>
          <w:spacing w:val="-2"/>
          <w:sz w:val="28"/>
          <w:szCs w:val="28"/>
          <w:rtl/>
          <w:lang w:bidi="fa-IR"/>
        </w:rPr>
        <w:t>.</w:t>
      </w:r>
    </w:p>
    <w:p w14:paraId="3AA26908" w14:textId="77777777" w:rsidR="00514486" w:rsidRDefault="00514486" w:rsidP="00514486">
      <w:pPr>
        <w:widowControl w:val="0"/>
        <w:bidi/>
        <w:spacing w:after="0"/>
        <w:ind w:firstLine="284"/>
        <w:jc w:val="both"/>
        <w:rPr>
          <w:rFonts w:cs="Abz-2 (Badr)" w:hint="cs"/>
          <w:color w:val="0070C0"/>
          <w:spacing w:val="-2"/>
          <w:sz w:val="28"/>
          <w:szCs w:val="28"/>
          <w:rtl/>
          <w:lang w:bidi="fa-IR"/>
        </w:rPr>
      </w:pPr>
      <w:r>
        <w:rPr>
          <w:rFonts w:cs="Abz-2 (Badr)" w:hint="cs"/>
          <w:color w:val="000000" w:themeColor="text1"/>
          <w:spacing w:val="-2"/>
          <w:sz w:val="28"/>
          <w:szCs w:val="28"/>
          <w:rtl/>
        </w:rPr>
        <w:t>وأمّا إذا بليت الكسوة بسبب تقصير الزوجة في حفظها ورعايتها، فقال الشهيد الثاني في شأنه</w:t>
      </w:r>
      <w:r>
        <w:rPr>
          <w:rFonts w:cs="Abz-2 (Badr)" w:hint="cs"/>
          <w:color w:val="000000" w:themeColor="text1"/>
          <w:spacing w:val="-2"/>
          <w:sz w:val="28"/>
          <w:szCs w:val="28"/>
          <w:rtl/>
          <w:lang w:bidi="fa-IR"/>
        </w:rPr>
        <w:t xml:space="preserve">: </w:t>
      </w:r>
      <w:r>
        <w:rPr>
          <w:rFonts w:cs="Abz-2 (Badr)" w:hint="cs"/>
          <w:color w:val="0070C0"/>
          <w:spacing w:val="-2"/>
          <w:sz w:val="28"/>
          <w:szCs w:val="28"/>
          <w:rtl/>
          <w:lang w:bidi="fa-IR"/>
        </w:rPr>
        <w:t>«</w:t>
      </w:r>
      <w:r>
        <w:rPr>
          <w:rFonts w:cs="Abz-2 (Badr)" w:hint="cs"/>
          <w:color w:val="0070C0"/>
          <w:spacing w:val="-2"/>
          <w:sz w:val="28"/>
          <w:szCs w:val="28"/>
          <w:rtl/>
          <w:lang w:bidi="ar"/>
        </w:rPr>
        <w:t>لو أتلفتها بنفسها فلا إبدال على القولين، لأنّه على الإمتاع يلزمها ضمانها، فكأنّها لم تتلف، مع احتماله، لأنّ الواجب عليها القيمة وعليه المثل.</w:t>
      </w:r>
    </w:p>
    <w:p w14:paraId="03A41F2B" w14:textId="77777777" w:rsidR="00514486" w:rsidRDefault="00514486" w:rsidP="00514486">
      <w:pPr>
        <w:widowControl w:val="0"/>
        <w:bidi/>
        <w:spacing w:after="0"/>
        <w:ind w:firstLine="284"/>
        <w:jc w:val="both"/>
        <w:rPr>
          <w:rFonts w:cs="Abz-2 (Badr)"/>
          <w:color w:val="0070C0"/>
          <w:spacing w:val="-2"/>
          <w:sz w:val="28"/>
          <w:szCs w:val="28"/>
          <w:lang w:bidi="fa-IR"/>
        </w:rPr>
      </w:pPr>
      <w:r>
        <w:rPr>
          <w:rFonts w:cs="Abz-2 (Badr)" w:hint="cs"/>
          <w:color w:val="0070C0"/>
          <w:spacing w:val="-2"/>
          <w:sz w:val="28"/>
          <w:szCs w:val="28"/>
          <w:rtl/>
          <w:lang w:bidi="ar"/>
        </w:rPr>
        <w:t xml:space="preserve">ولو تخرّقت قبل مجيء وقته لكثرة تحاملها عليها زيادة على المعتاد، أو قصّرت في حفظها ونشرها في الهواء حيث تفتقر إليه </w:t>
      </w:r>
      <w:r>
        <w:rPr>
          <w:rFonts w:cs="Abz-2 (Badr)" w:hint="cs"/>
          <w:color w:val="0070C0"/>
          <w:spacing w:val="-2"/>
          <w:sz w:val="28"/>
          <w:szCs w:val="28"/>
          <w:rtl/>
          <w:lang w:bidi="ar"/>
        </w:rPr>
        <w:lastRenderedPageBreak/>
        <w:t>فهو كما لو أتلفتها.»</w:t>
      </w:r>
      <w:r>
        <w:rPr>
          <w:rStyle w:val="FootnoteReference"/>
          <w:rFonts w:cs="Abz-2 (Badr)"/>
          <w:color w:val="000000" w:themeColor="text1"/>
          <w:sz w:val="28"/>
          <w:szCs w:val="28"/>
          <w:rtl/>
          <w:lang w:bidi="ar"/>
        </w:rPr>
        <w:footnoteReference w:id="8"/>
      </w:r>
    </w:p>
    <w:p w14:paraId="4A4C5E22" w14:textId="77777777" w:rsidR="00514486" w:rsidRDefault="00514486" w:rsidP="00514486">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rPr>
        <w:t>والحقّ أنّ الاحتمال المتعيّن بين الاحتمالين المذكورين في كلام الشهيد الثاني على القول بوجوب الإمتاع، هو الاحتمال الثاني</w:t>
      </w:r>
      <w:r>
        <w:rPr>
          <w:rFonts w:cs="Abz-2 (Badr)" w:hint="cs"/>
          <w:color w:val="000000" w:themeColor="text1"/>
          <w:spacing w:val="-2"/>
          <w:sz w:val="28"/>
          <w:szCs w:val="28"/>
          <w:rtl/>
          <w:lang w:bidi="fa-IR"/>
        </w:rPr>
        <w:t>.</w:t>
      </w:r>
    </w:p>
    <w:p w14:paraId="6EC409F4" w14:textId="77777777" w:rsidR="00514486" w:rsidRDefault="00514486" w:rsidP="00514486">
      <w:pPr>
        <w:widowControl w:val="0"/>
        <w:bidi/>
        <w:spacing w:after="0" w:line="252" w:lineRule="auto"/>
        <w:ind w:firstLine="284"/>
        <w:jc w:val="both"/>
        <w:rPr>
          <w:rFonts w:cs="Abz-2 (Badr)"/>
          <w:color w:val="000000" w:themeColor="text1"/>
          <w:spacing w:val="-2"/>
          <w:sz w:val="28"/>
          <w:szCs w:val="28"/>
          <w:lang w:bidi="fa-IR"/>
        </w:rPr>
      </w:pPr>
      <w:r>
        <w:rPr>
          <w:rFonts w:cs="Abz-2 (Badr)" w:hint="cs"/>
          <w:color w:val="00B050"/>
          <w:spacing w:val="-2"/>
          <w:sz w:val="28"/>
          <w:szCs w:val="28"/>
          <w:rtl/>
          <w:lang w:bidi="fa-IR"/>
        </w:rPr>
        <w:t xml:space="preserve">ومنها: </w:t>
      </w:r>
      <w:r>
        <w:rPr>
          <w:rFonts w:cs="Abz-2 (Badr)" w:hint="cs"/>
          <w:color w:val="000000" w:themeColor="text1"/>
          <w:spacing w:val="-2"/>
          <w:sz w:val="28"/>
          <w:szCs w:val="28"/>
          <w:rtl/>
        </w:rPr>
        <w:t>أنّه إذا انقضت المدّة التي تبلى فيها الکسوة عادة ولم تبل وبقيت صالحة للاستعمال، فعلى القول بملكيّة الزوجة للکسوة، يكون لها أن تطالب الزوج بکسوة أُخری بعنوان النفقة. وأمّا إذا قلنا: إنّ الواجب في الكسوة هو مجرّد الإمتاع، فمادامت تلك الکسوة صالحة للاستعمال، فلا يكون على الزوج تكليف بإعطاء کسوة أُخری لها.</w:t>
      </w:r>
    </w:p>
    <w:p w14:paraId="71BEBA0B" w14:textId="77777777" w:rsidR="00514486" w:rsidRDefault="00514486" w:rsidP="00514486">
      <w:pPr>
        <w:widowControl w:val="0"/>
        <w:bidi/>
        <w:spacing w:after="0" w:line="252" w:lineRule="auto"/>
        <w:ind w:firstLine="284"/>
        <w:jc w:val="both"/>
        <w:rPr>
          <w:rFonts w:cs="Abz-2 (Badr)"/>
          <w:color w:val="0070C0"/>
          <w:spacing w:val="-2"/>
          <w:sz w:val="28"/>
          <w:szCs w:val="28"/>
          <w:lang w:bidi="ar"/>
        </w:rPr>
      </w:pPr>
      <w:r>
        <w:rPr>
          <w:rFonts w:cs="Abz-2 (Badr)" w:hint="cs"/>
          <w:color w:val="000000" w:themeColor="text1"/>
          <w:spacing w:val="-2"/>
          <w:sz w:val="28"/>
          <w:szCs w:val="28"/>
          <w:rtl/>
        </w:rPr>
        <w:t>قال الشهيد الثاني في هذا الشأن</w:t>
      </w:r>
      <w:r>
        <w:rPr>
          <w:rFonts w:cs="Abz-2 (Badr)" w:hint="cs"/>
          <w:color w:val="000000" w:themeColor="text1"/>
          <w:spacing w:val="-2"/>
          <w:sz w:val="28"/>
          <w:szCs w:val="28"/>
          <w:rtl/>
          <w:lang w:bidi="fa-IR"/>
        </w:rPr>
        <w:t xml:space="preserve">: </w:t>
      </w:r>
      <w:r>
        <w:rPr>
          <w:rFonts w:cs="Abz-2 (Badr)" w:hint="cs"/>
          <w:color w:val="0070C0"/>
          <w:spacing w:val="-2"/>
          <w:sz w:val="28"/>
          <w:szCs w:val="28"/>
          <w:rtl/>
          <w:lang w:bidi="fa-IR"/>
        </w:rPr>
        <w:t>«</w:t>
      </w:r>
      <w:r>
        <w:rPr>
          <w:rFonts w:cs="Abz-2 (Badr)" w:hint="cs"/>
          <w:color w:val="0070C0"/>
          <w:spacing w:val="-2"/>
          <w:sz w:val="28"/>
          <w:szCs w:val="28"/>
          <w:rtl/>
          <w:lang w:bidi="ar"/>
        </w:rPr>
        <w:t>لو انقضت المدّة والكسوة باقية لرفقها بها، فعليه كسوة أُخرى على الأوّل، وهو الذي حكم به المصنّف، لأنّ ملكها لها مترتّب على المدّة المعتادة لها، كما لو استفضلت من طعام يومها.</w:t>
      </w:r>
    </w:p>
    <w:p w14:paraId="3CF4211F" w14:textId="77777777" w:rsidR="00514486" w:rsidRDefault="00514486" w:rsidP="00514486">
      <w:pPr>
        <w:widowControl w:val="0"/>
        <w:bidi/>
        <w:spacing w:after="0" w:line="252" w:lineRule="auto"/>
        <w:ind w:firstLine="284"/>
        <w:jc w:val="both"/>
        <w:rPr>
          <w:rFonts w:cs="Abz-2 (Badr)" w:hint="cs"/>
          <w:color w:val="0070C0"/>
          <w:spacing w:val="-2"/>
          <w:sz w:val="28"/>
          <w:szCs w:val="28"/>
          <w:rtl/>
          <w:lang w:bidi="fa-IR"/>
        </w:rPr>
      </w:pPr>
      <w:r>
        <w:rPr>
          <w:rFonts w:cs="Abz-2 (Badr)" w:hint="cs"/>
          <w:color w:val="0070C0"/>
          <w:spacing w:val="-2"/>
          <w:sz w:val="28"/>
          <w:szCs w:val="28"/>
          <w:rtl/>
          <w:lang w:bidi="ar"/>
        </w:rPr>
        <w:t>وعلى الثاني لا يلزمه حتّى يبلى ما عندها. لكن لو كانت الأُولى كسوة الصيف مثلاً ولا تصلح للشتاء، فعليه أن يعطيها ما يقصد للشتاء، أو يزيدها عليها إن كانت تصلح له مع غيرها.»</w:t>
      </w:r>
      <w:r>
        <w:rPr>
          <w:rStyle w:val="FootnoteReference"/>
          <w:rFonts w:cs="Abz-2 (Badr)"/>
          <w:color w:val="000000" w:themeColor="text1"/>
          <w:sz w:val="28"/>
          <w:szCs w:val="28"/>
          <w:rtl/>
          <w:lang w:bidi="ar"/>
        </w:rPr>
        <w:footnoteReference w:id="9"/>
      </w:r>
    </w:p>
    <w:p w14:paraId="7CA7761A" w14:textId="77777777" w:rsidR="00514486" w:rsidRDefault="00514486" w:rsidP="00514486">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rPr>
        <w:t>إلا أنّ العلامة في الإرشاد مع ذهابه إلی مجرّد وجوب الإمتاع في الكسوة، قال في هذا الفرع وكذا في الفرع السابق</w:t>
      </w:r>
      <w:r>
        <w:rPr>
          <w:rFonts w:cs="Abz-2 (Badr)" w:hint="cs"/>
          <w:color w:val="000000" w:themeColor="text1"/>
          <w:spacing w:val="-2"/>
          <w:sz w:val="28"/>
          <w:szCs w:val="28"/>
          <w:rtl/>
          <w:lang w:bidi="fa-IR"/>
        </w:rPr>
        <w:t xml:space="preserve">: </w:t>
      </w:r>
      <w:r>
        <w:rPr>
          <w:rFonts w:cs="Abz-2 (Badr)" w:hint="cs"/>
          <w:color w:val="0070C0"/>
          <w:spacing w:val="-2"/>
          <w:sz w:val="28"/>
          <w:szCs w:val="28"/>
          <w:rtl/>
          <w:lang w:bidi="fa-IR"/>
        </w:rPr>
        <w:t>«</w:t>
      </w:r>
      <w:r>
        <w:rPr>
          <w:rFonts w:cs="Abz-2 (Badr)" w:hint="cs"/>
          <w:color w:val="0070C0"/>
          <w:spacing w:val="-2"/>
          <w:sz w:val="28"/>
          <w:szCs w:val="28"/>
          <w:rtl/>
          <w:lang w:bidi="ar"/>
        </w:rPr>
        <w:t>لو أخلقت</w:t>
      </w:r>
      <w:r>
        <w:rPr>
          <w:rFonts w:cs="Abz-2 (Badr)" w:hint="cs"/>
          <w:color w:val="0070C0"/>
          <w:spacing w:val="-2"/>
          <w:sz w:val="28"/>
          <w:szCs w:val="28"/>
          <w:vertAlign w:val="superscript"/>
          <w:rtl/>
          <w:lang w:bidi="ar"/>
        </w:rPr>
        <w:t xml:space="preserve">  </w:t>
      </w:r>
      <w:r>
        <w:rPr>
          <w:rFonts w:cs="Abz-2 (Badr)" w:hint="cs"/>
          <w:color w:val="0070C0"/>
          <w:spacing w:val="-2"/>
          <w:sz w:val="28"/>
          <w:szCs w:val="28"/>
          <w:rtl/>
          <w:lang w:bidi="ar"/>
        </w:rPr>
        <w:t>الكسوة قبل المدّة المضروبة لم يجب البدل، ولو انقضت وهي باقية، فلها المطالبة بأُخرى.»</w:t>
      </w:r>
      <w:r>
        <w:rPr>
          <w:rStyle w:val="FootnoteReference"/>
          <w:rFonts w:cs="Abz-2 (Badr)"/>
          <w:color w:val="000000" w:themeColor="text1"/>
          <w:sz w:val="28"/>
          <w:szCs w:val="28"/>
          <w:rtl/>
          <w:lang w:bidi="ar"/>
        </w:rPr>
        <w:footnoteReference w:id="10"/>
      </w:r>
    </w:p>
    <w:p w14:paraId="3F6ACD77" w14:textId="77777777" w:rsidR="00514486" w:rsidRDefault="00514486" w:rsidP="00514486">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rPr>
        <w:t>ولهذا قال صاحب المسالك: لعلّ المحقّق أيضاً كالعلامة، مع كونه قائلاً بمجرّد الإمتاع، حكم في هذا الفرع بجواز مطالبة الزوجة بكسوة أُخرى، فلا يمكن أن يستكشف من مجرّد قوله بجواز المطالبة بكسوة أُخرى في هذا الفرع، أو بعدم جواز المطالبة في الفرع السابق، أنّه قائل بملكيّة الزوجة للكسوة</w:t>
      </w:r>
      <w:r>
        <w:rPr>
          <w:rFonts w:cs="Abz-2 (Badr)" w:hint="cs"/>
          <w:color w:val="000000" w:themeColor="text1"/>
          <w:spacing w:val="-2"/>
          <w:sz w:val="28"/>
          <w:szCs w:val="28"/>
          <w:rtl/>
          <w:lang w:bidi="fa-IR"/>
        </w:rPr>
        <w:t>.</w:t>
      </w:r>
      <w:r>
        <w:rPr>
          <w:rStyle w:val="FootnoteReference"/>
          <w:rFonts w:cs="Abz-2 (Badr)"/>
          <w:color w:val="000000" w:themeColor="text1"/>
          <w:sz w:val="28"/>
          <w:szCs w:val="28"/>
          <w:rtl/>
          <w:lang w:bidi="ar"/>
        </w:rPr>
        <w:footnoteReference w:id="11"/>
      </w:r>
    </w:p>
    <w:p w14:paraId="7F59182E" w14:textId="77777777" w:rsidR="00514486" w:rsidRDefault="00514486" w:rsidP="00514486">
      <w:pPr>
        <w:widowControl w:val="0"/>
        <w:bidi/>
        <w:spacing w:after="0" w:line="252" w:lineRule="auto"/>
        <w:ind w:firstLine="284"/>
        <w:jc w:val="both"/>
        <w:rPr>
          <w:rFonts w:cs="Abz-2 (Badr)" w:hint="cs"/>
          <w:color w:val="0070C0"/>
          <w:spacing w:val="-2"/>
          <w:sz w:val="28"/>
          <w:szCs w:val="28"/>
          <w:rtl/>
        </w:rPr>
      </w:pPr>
      <w:r>
        <w:rPr>
          <w:rFonts w:cs="Abz-2 (Badr)" w:hint="cs"/>
          <w:color w:val="000000" w:themeColor="text1"/>
          <w:spacing w:val="-2"/>
          <w:sz w:val="28"/>
          <w:szCs w:val="28"/>
          <w:rtl/>
          <w:lang w:bidi="fa-IR"/>
        </w:rPr>
        <w:t xml:space="preserve">وأمّا صاحب الجواهر فإنّه قال في الإشکال علی جواز مطالبة کسوة أُخری في فرض ملکيّة الزوجة للکسوة: </w:t>
      </w:r>
      <w:r>
        <w:rPr>
          <w:rFonts w:cs="Abz-2 (Badr)" w:hint="cs"/>
          <w:color w:val="0070C0"/>
          <w:spacing w:val="-2"/>
          <w:sz w:val="28"/>
          <w:szCs w:val="28"/>
          <w:rtl/>
          <w:lang w:bidi="fa-IR"/>
        </w:rPr>
        <w:t>«</w:t>
      </w:r>
      <w:r>
        <w:rPr>
          <w:rFonts w:cs="Abz-2 (Badr)" w:hint="cs"/>
          <w:color w:val="0070C0"/>
          <w:spacing w:val="-2"/>
          <w:sz w:val="28"/>
          <w:szCs w:val="28"/>
          <w:rtl/>
        </w:rPr>
        <w:t xml:space="preserve">فيه أيضاً: أنّ ذلك إن كان لاتّفاق حسن الكسوة وعدم عروض ما اقتضى خلقها، أمكن منع وجوب الإبدال على الأوّل أيضاً، ضرورة </w:t>
      </w:r>
      <w:r>
        <w:rPr>
          <w:rFonts w:cs="Abz-2 (Badr)" w:hint="cs"/>
          <w:color w:val="0070C0"/>
          <w:spacing w:val="-2"/>
          <w:sz w:val="28"/>
          <w:szCs w:val="28"/>
          <w:rtl/>
        </w:rPr>
        <w:lastRenderedPageBreak/>
        <w:t>أنّ ملكها لها على جهة الإنفاق لا مطلقاً، ولا تقدير للمدّة شرعاً وإنّما هو يزعم بقاء الكسوة إليها، فمع فرض اتّفاق بقائها إليها لا دليل على خطابه بالإنفاق.</w:t>
      </w:r>
    </w:p>
    <w:p w14:paraId="1801A7A1" w14:textId="77777777" w:rsidR="00514486" w:rsidRDefault="00514486" w:rsidP="00514486">
      <w:pPr>
        <w:widowControl w:val="0"/>
        <w:bidi/>
        <w:spacing w:after="0" w:line="252" w:lineRule="auto"/>
        <w:ind w:firstLine="284"/>
        <w:jc w:val="both"/>
        <w:rPr>
          <w:rFonts w:cs="Abz-2 (Badr)" w:hint="cs"/>
          <w:color w:val="0070C0"/>
          <w:spacing w:val="-2"/>
          <w:sz w:val="28"/>
          <w:szCs w:val="28"/>
          <w:rtl/>
        </w:rPr>
      </w:pPr>
      <w:r>
        <w:rPr>
          <w:rFonts w:cs="Abz-2 (Badr)" w:hint="cs"/>
          <w:color w:val="0070C0"/>
          <w:spacing w:val="-2"/>
          <w:sz w:val="28"/>
          <w:szCs w:val="28"/>
          <w:rtl/>
        </w:rPr>
        <w:t>نعم، لو استفضلت ذلك بلبس ثياب منها أو بتحمّل العري أو نحو ذلك، أمكن حينئذٍ القول بأنّ لها المطالبة على الملك، لنحو ما سمعته في استفضال الطعام.»</w:t>
      </w:r>
      <w:r>
        <w:rPr>
          <w:rStyle w:val="FootnoteReference"/>
          <w:rFonts w:cs="Abz-2 (Badr)"/>
          <w:color w:val="000000" w:themeColor="text1"/>
          <w:sz w:val="28"/>
          <w:szCs w:val="28"/>
          <w:rtl/>
          <w:lang w:bidi="ar"/>
        </w:rPr>
        <w:footnoteReference w:id="12"/>
      </w:r>
    </w:p>
    <w:p w14:paraId="12889C57" w14:textId="77777777" w:rsidR="00514486" w:rsidRDefault="00514486" w:rsidP="00514486">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t>ونؤجّل نقد كلماته إلى الجلسة القادمة إن شاء الله.</w:t>
      </w:r>
      <w:bookmarkEnd w:id="1"/>
      <w:bookmarkEnd w:id="2"/>
    </w:p>
    <w:p w14:paraId="2AD04477" w14:textId="7D63A4A4" w:rsidR="00B706A3" w:rsidRPr="00514486" w:rsidRDefault="00B706A3" w:rsidP="00514486">
      <w:pPr>
        <w:rPr>
          <w:rtl/>
        </w:rPr>
      </w:pPr>
    </w:p>
    <w:sectPr w:rsidR="00B706A3" w:rsidRPr="00514486"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4F721" w14:textId="77777777" w:rsidR="00B9749B" w:rsidRDefault="00B9749B" w:rsidP="00F71127">
      <w:pPr>
        <w:spacing w:after="0" w:line="240" w:lineRule="auto"/>
      </w:pPr>
      <w:r>
        <w:separator/>
      </w:r>
    </w:p>
  </w:endnote>
  <w:endnote w:type="continuationSeparator" w:id="0">
    <w:p w14:paraId="14ACECA3" w14:textId="77777777" w:rsidR="00B9749B" w:rsidRDefault="00B9749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17CE" w14:textId="77777777" w:rsidR="00B62A76" w:rsidRDefault="00B62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57F83" w14:textId="77777777" w:rsidR="00B62A76" w:rsidRDefault="00B62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0F263" w14:textId="77777777" w:rsidR="00B9749B" w:rsidRDefault="00B9749B" w:rsidP="00EE25C0">
      <w:pPr>
        <w:bidi/>
        <w:spacing w:after="0" w:line="240" w:lineRule="auto"/>
      </w:pPr>
      <w:r>
        <w:separator/>
      </w:r>
    </w:p>
  </w:footnote>
  <w:footnote w:type="continuationSeparator" w:id="0">
    <w:p w14:paraId="329B9338" w14:textId="77777777" w:rsidR="00B9749B" w:rsidRDefault="00B9749B" w:rsidP="00F71127">
      <w:pPr>
        <w:bidi/>
        <w:spacing w:after="0" w:line="240" w:lineRule="auto"/>
      </w:pPr>
      <w:r>
        <w:continuationSeparator/>
      </w:r>
    </w:p>
  </w:footnote>
  <w:footnote w:id="1">
    <w:p w14:paraId="1DE268B5"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w:t>
      </w:r>
      <w:r>
        <w:rPr>
          <w:rFonts w:cs="Abz-2 (Badr)" w:hint="cs"/>
          <w:rtl/>
          <w:lang w:bidi="fa-IR"/>
        </w:rPr>
        <w:t>،ج31،ص348.</w:t>
      </w:r>
    </w:p>
  </w:footnote>
  <w:footnote w:id="2">
    <w:p w14:paraId="11D7BCF3"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،ج8،ص465.</w:t>
      </w:r>
    </w:p>
  </w:footnote>
  <w:footnote w:id="3">
    <w:p w14:paraId="1C787DE9"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همان</w:t>
      </w:r>
      <w:r>
        <w:rPr>
          <w:rFonts w:cs="Abz-2 (Badr)" w:hint="cs"/>
          <w:rtl/>
          <w:lang w:bidi="fa-IR"/>
        </w:rPr>
        <w:t>.</w:t>
      </w:r>
    </w:p>
  </w:footnote>
  <w:footnote w:id="4">
    <w:p w14:paraId="55831FFF"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ارشاد،ج2،ص35 و 36</w:t>
      </w:r>
      <w:r>
        <w:rPr>
          <w:rFonts w:cs="Abz-2 (Badr)" w:hint="cs"/>
          <w:rtl/>
          <w:lang w:bidi="fa-IR"/>
        </w:rPr>
        <w:t>.</w:t>
      </w:r>
    </w:p>
  </w:footnote>
  <w:footnote w:id="5">
    <w:p w14:paraId="226F5700"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مسالك،ج8،ص465 و 466</w:t>
      </w:r>
      <w:r>
        <w:rPr>
          <w:rFonts w:cs="Abz-2 (Badr)" w:hint="cs"/>
          <w:rtl/>
          <w:lang w:bidi="fa-IR"/>
        </w:rPr>
        <w:t>.</w:t>
      </w:r>
    </w:p>
  </w:footnote>
  <w:footnote w:id="6">
    <w:p w14:paraId="24695AEA"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جواهر،ج31،ص348</w:t>
      </w:r>
      <w:r>
        <w:rPr>
          <w:rFonts w:cs="Abz-2 (Badr)" w:hint="cs"/>
          <w:rtl/>
          <w:lang w:bidi="fa-IR"/>
        </w:rPr>
        <w:t>.</w:t>
      </w:r>
    </w:p>
  </w:footnote>
  <w:footnote w:id="7">
    <w:p w14:paraId="78D19A85"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الكلام</w:t>
      </w:r>
      <w:r>
        <w:rPr>
          <w:rFonts w:cs="Abz-2 (Badr)" w:hint="cs"/>
          <w:rtl/>
          <w:lang w:bidi="fa-IR"/>
        </w:rPr>
        <w:t>، ج31،ص348.</w:t>
      </w:r>
    </w:p>
  </w:footnote>
  <w:footnote w:id="8">
    <w:p w14:paraId="1C21E684"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 الأفهام</w:t>
      </w:r>
      <w:r>
        <w:rPr>
          <w:rFonts w:cs="Abz-2 (Badr)" w:hint="cs"/>
          <w:rtl/>
          <w:lang w:bidi="fa-IR"/>
        </w:rPr>
        <w:t>،ج8،ص465.</w:t>
      </w:r>
    </w:p>
  </w:footnote>
  <w:footnote w:id="9">
    <w:p w14:paraId="5B9515B7"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المصدر نفسه</w:t>
      </w:r>
      <w:r>
        <w:rPr>
          <w:rFonts w:cs="Abz-2 (Badr)" w:hint="cs"/>
          <w:rtl/>
          <w:lang w:bidi="fa-IR"/>
        </w:rPr>
        <w:t>.</w:t>
      </w:r>
    </w:p>
  </w:footnote>
  <w:footnote w:id="10">
    <w:p w14:paraId="016EFD6D"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إرشاد الأذهان،ج2،ص35 و 36</w:t>
      </w:r>
      <w:r>
        <w:rPr>
          <w:rFonts w:cs="Abz-2 (Badr)" w:hint="cs"/>
          <w:rtl/>
          <w:lang w:bidi="fa-IR"/>
        </w:rPr>
        <w:t>.</w:t>
      </w:r>
    </w:p>
  </w:footnote>
  <w:footnote w:id="11">
    <w:p w14:paraId="19FD0050"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 الأفهام،ج8،ص465 و 466</w:t>
      </w:r>
      <w:r>
        <w:rPr>
          <w:rFonts w:cs="Abz-2 (Badr)" w:hint="cs"/>
          <w:rtl/>
          <w:lang w:bidi="fa-IR"/>
        </w:rPr>
        <w:t>.</w:t>
      </w:r>
    </w:p>
  </w:footnote>
  <w:footnote w:id="12">
    <w:p w14:paraId="1A01BC02" w14:textId="77777777" w:rsidR="00514486" w:rsidRDefault="00514486" w:rsidP="0051448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الکلام،ج31،ص348</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C0DA" w14:textId="77777777" w:rsidR="00B62A76" w:rsidRDefault="00B62A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05EA594"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684434">
                            <w:rPr>
                              <w:rFonts w:cs="B Mehr" w:hint="cs"/>
                              <w:rtl/>
                              <w:lang w:bidi="fa-IR"/>
                            </w:rPr>
                            <w:t xml:space="preserve"> </w:t>
                          </w:r>
                          <w:r w:rsidR="00514486">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514486">
                            <w:rPr>
                              <w:rFonts w:cs="B Mehr" w:hint="cs"/>
                              <w:rtl/>
                              <w:lang w:bidi="fa-IR"/>
                            </w:rPr>
                            <w:t>09</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05EA594"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684434">
                      <w:rPr>
                        <w:rFonts w:cs="B Mehr" w:hint="cs"/>
                        <w:rtl/>
                        <w:lang w:bidi="fa-IR"/>
                      </w:rPr>
                      <w:t xml:space="preserve"> </w:t>
                    </w:r>
                    <w:r w:rsidR="00514486">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514486">
                      <w:rPr>
                        <w:rFonts w:cs="B Mehr" w:hint="cs"/>
                        <w:rtl/>
                        <w:lang w:bidi="fa-IR"/>
                      </w:rPr>
                      <w:t>09</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BF71" w14:textId="77777777" w:rsidR="00B62A76" w:rsidRDefault="00B62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21735</TotalTime>
  <Pages>1</Pages>
  <Words>1087</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711</cp:revision>
  <cp:lastPrinted>2025-04-14T09:12:00Z</cp:lastPrinted>
  <dcterms:created xsi:type="dcterms:W3CDTF">2022-10-16T08:36:00Z</dcterms:created>
  <dcterms:modified xsi:type="dcterms:W3CDTF">2025-12-30T16:06:00Z</dcterms:modified>
</cp:coreProperties>
</file>