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116D6" w14:textId="77777777" w:rsidR="00BD5487" w:rsidRDefault="00BD5487" w:rsidP="00BD5487">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A85E83C" w14:textId="77777777" w:rsidR="00BD5487" w:rsidRDefault="00BD5487" w:rsidP="00BD5487">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E2B0D20" w14:textId="77777777" w:rsidR="00BD5487" w:rsidRDefault="00BD5487" w:rsidP="00BD5487">
      <w:pPr>
        <w:widowControl w:val="0"/>
        <w:bidi/>
        <w:spacing w:after="0"/>
        <w:jc w:val="center"/>
        <w:rPr>
          <w:rFonts w:cs="B Mitra" w:hint="cs"/>
          <w:b/>
          <w:bCs/>
          <w:sz w:val="32"/>
          <w:szCs w:val="32"/>
          <w:rtl/>
          <w:lang w:bidi="fa-IR"/>
        </w:rPr>
      </w:pPr>
      <w:r>
        <w:rPr>
          <w:rFonts w:cs="B Mitra" w:hint="cs"/>
          <w:b/>
          <w:bCs/>
          <w:sz w:val="32"/>
          <w:szCs w:val="32"/>
          <w:rtl/>
          <w:lang w:bidi="fa-IR"/>
        </w:rPr>
        <w:t>جلسه 895</w:t>
      </w:r>
    </w:p>
    <w:p w14:paraId="04A381D6" w14:textId="77777777" w:rsidR="00BD5487" w:rsidRDefault="00BD5487" w:rsidP="00BD5487">
      <w:pPr>
        <w:widowControl w:val="0"/>
        <w:bidi/>
        <w:spacing w:after="0"/>
        <w:ind w:firstLine="284"/>
        <w:jc w:val="both"/>
        <w:rPr>
          <w:rFonts w:cs="Abz-2 (Badr)" w:hint="cs"/>
          <w:color w:val="000000" w:themeColor="text1"/>
          <w:sz w:val="28"/>
          <w:szCs w:val="28"/>
          <w:rtl/>
          <w:lang w:bidi="fa-IR"/>
        </w:rPr>
      </w:pPr>
      <w:bookmarkStart w:id="0" w:name="_Hlk159096966"/>
    </w:p>
    <w:bookmarkEnd w:id="0"/>
    <w:p w14:paraId="0FB88FF0"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جلسه قبل گفتيم که در خصوص شغل ذمه زوج به نفقه زوجه، برخی از عامه قائل به فرق بين حکم حاکم و عدم آن شده</w:t>
      </w:r>
      <w:r>
        <w:rPr>
          <w:rFonts w:cs="Abz-2 (Badr)" w:hint="cs"/>
          <w:color w:val="000000" w:themeColor="text1"/>
          <w:spacing w:val="-2"/>
          <w:sz w:val="28"/>
          <w:szCs w:val="28"/>
          <w:rtl/>
          <w:lang w:bidi="fa-IR"/>
        </w:rPr>
        <w:softHyphen/>
        <w:t>اند.</w:t>
      </w:r>
    </w:p>
    <w:p w14:paraId="3676AF92" w14:textId="77777777" w:rsidR="00BD5487" w:rsidRDefault="00BD5487" w:rsidP="00BD5487">
      <w:pPr>
        <w:widowControl w:val="0"/>
        <w:bidi/>
        <w:spacing w:after="0" w:line="252" w:lineRule="auto"/>
        <w:ind w:firstLine="284"/>
        <w:jc w:val="both"/>
        <w:rPr>
          <w:rFonts w:cs="Abz-2 (Badr)" w:hint="cs"/>
          <w:color w:val="0070C0"/>
          <w:spacing w:val="-2"/>
          <w:sz w:val="28"/>
          <w:szCs w:val="28"/>
          <w:rtl/>
        </w:rPr>
      </w:pPr>
      <w:r>
        <w:rPr>
          <w:rFonts w:cs="Abz-2 (Badr)" w:hint="cs"/>
          <w:color w:val="000000" w:themeColor="text1"/>
          <w:spacing w:val="-2"/>
          <w:sz w:val="28"/>
          <w:szCs w:val="28"/>
          <w:rtl/>
          <w:lang w:bidi="fa-IR"/>
        </w:rPr>
        <w:t>ابن قدامه می</w:t>
      </w:r>
      <w:r>
        <w:rPr>
          <w:rFonts w:cs="Abz-2 (Badr)" w:hint="cs"/>
          <w:color w:val="000000" w:themeColor="text1"/>
          <w:spacing w:val="-2"/>
          <w:sz w:val="28"/>
          <w:szCs w:val="28"/>
          <w:rtl/>
          <w:lang w:bidi="fa-IR"/>
        </w:rPr>
        <w:softHyphen/>
        <w:t xml:space="preserve">گويد: </w:t>
      </w:r>
      <w:r>
        <w:rPr>
          <w:rFonts w:cs="Abz-2 (Badr)" w:hint="cs"/>
          <w:color w:val="0070C0"/>
          <w:spacing w:val="-2"/>
          <w:sz w:val="28"/>
          <w:szCs w:val="28"/>
          <w:rtl/>
          <w:lang w:bidi="fa-IR"/>
        </w:rPr>
        <w:t>«</w:t>
      </w:r>
      <w:r>
        <w:rPr>
          <w:rFonts w:cs="Abz-2 (Badr)" w:hint="cs"/>
          <w:color w:val="0070C0"/>
          <w:spacing w:val="-2"/>
          <w:sz w:val="28"/>
          <w:szCs w:val="28"/>
          <w:rtl/>
        </w:rPr>
        <w:t>من ترك الإنفاق الواجب لامرأته مدّة، لم يسقط بذلك وكانت ديناً في ذمّته ـ سواء تركها لعذر أو غير عذر ـ في أظهر الروايتين؛ وهذا قول الحسن، ومالك، والشافعي، وإسحاق، وابن المنذر.</w:t>
      </w:r>
    </w:p>
    <w:p w14:paraId="023A5586" w14:textId="77777777" w:rsidR="00BD5487" w:rsidRDefault="00BD5487" w:rsidP="00BD5487">
      <w:pPr>
        <w:widowControl w:val="0"/>
        <w:bidi/>
        <w:spacing w:after="0" w:line="252" w:lineRule="auto"/>
        <w:ind w:firstLine="284"/>
        <w:jc w:val="both"/>
        <w:rPr>
          <w:rFonts w:cs="Abz-2 (Badr)" w:hint="cs"/>
          <w:color w:val="4472C4" w:themeColor="accent1"/>
          <w:spacing w:val="-2"/>
          <w:sz w:val="28"/>
          <w:szCs w:val="28"/>
          <w:rtl/>
          <w:lang w:bidi="fa-IR"/>
        </w:rPr>
      </w:pPr>
      <w:r>
        <w:rPr>
          <w:rFonts w:cs="Abz-2 (Badr)" w:hint="cs"/>
          <w:color w:val="0070C0"/>
          <w:spacing w:val="-2"/>
          <w:sz w:val="28"/>
          <w:szCs w:val="28"/>
          <w:rtl/>
        </w:rPr>
        <w:t>والرواية الأُخرى: تسقط نفقتها ما لم يكن الحاكم قد فرضها لها؛ وهذا مذهب أبي حنيفة، لأنّها نفقة تجب يوماً فيوماً، فتسقط بتأخيرها إذا لم يفرضها الحاكم كنفقة الأقارب، لأنّ نفقة الماضي قد استغني عنها بمضيّ وقتها، فتسقط، كنفقة الأقارب.»</w:t>
      </w:r>
      <w:r>
        <w:rPr>
          <w:rStyle w:val="FootnoteReference"/>
          <w:rFonts w:cs="Abz-2 (Badr)"/>
          <w:color w:val="000000" w:themeColor="text1"/>
          <w:sz w:val="28"/>
          <w:szCs w:val="28"/>
          <w:rtl/>
          <w:lang w:bidi="ar"/>
        </w:rPr>
        <w:footnoteReference w:id="1"/>
      </w:r>
    </w:p>
    <w:p w14:paraId="12EFB539"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اما وجهی برای اين تفصيل نيست، زيرا اگر وجوب شرعی نفقه بر زوج را مستلزم شغل ذمه زوج ندانيم، مجرد اين که قاضی آن را تقدير کرده و حکم نمايد، سبب نمی</w:t>
      </w:r>
      <w:r>
        <w:rPr>
          <w:rFonts w:cs="Abz-2 (Badr)" w:hint="cs"/>
          <w:color w:val="000000" w:themeColor="text1"/>
          <w:spacing w:val="-2"/>
          <w:sz w:val="28"/>
          <w:szCs w:val="28"/>
          <w:rtl/>
          <w:lang w:bidi="fa-IR"/>
        </w:rPr>
        <w:softHyphen/>
        <w:t>شود که ذمه مشغول گردد.</w:t>
      </w:r>
    </w:p>
    <w:p w14:paraId="11080063" w14:textId="77777777" w:rsidR="00BD5487" w:rsidRDefault="00BD5487" w:rsidP="00BD5487">
      <w:pPr>
        <w:widowControl w:val="0"/>
        <w:bidi/>
        <w:spacing w:after="0" w:line="252" w:lineRule="auto"/>
        <w:ind w:firstLine="284"/>
        <w:jc w:val="both"/>
        <w:rPr>
          <w:rFonts w:cs="Abz-2 (Badr)" w:hint="cs"/>
          <w:color w:val="C45911" w:themeColor="accent2" w:themeShade="BF"/>
          <w:spacing w:val="-2"/>
          <w:sz w:val="28"/>
          <w:szCs w:val="28"/>
          <w:rtl/>
          <w:lang w:bidi="fa-IR"/>
        </w:rPr>
      </w:pPr>
      <w:r>
        <w:rPr>
          <w:rFonts w:cs="Abz-2 (Badr)" w:hint="cs"/>
          <w:color w:val="C45911" w:themeColor="accent2" w:themeShade="BF"/>
          <w:spacing w:val="-2"/>
          <w:sz w:val="28"/>
          <w:szCs w:val="28"/>
          <w:rtl/>
          <w:lang w:bidi="fa-IR"/>
        </w:rPr>
        <w:t>امر چهارم: بازپس گيری آنچه که از نفقه توسط زوجه استفاده نشده است</w:t>
      </w:r>
    </w:p>
    <w:p w14:paraId="7B0394AD"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چنانچه زوجه به واسطه صرفه</w:t>
      </w:r>
      <w:r>
        <w:rPr>
          <w:rFonts w:cs="Abz-2 (Badr)" w:hint="cs"/>
          <w:color w:val="000000" w:themeColor="text1"/>
          <w:spacing w:val="-2"/>
          <w:sz w:val="28"/>
          <w:szCs w:val="28"/>
          <w:rtl/>
          <w:lang w:bidi="fa-IR"/>
        </w:rPr>
        <w:softHyphen/>
        <w:t>جويی از تمام آنچه که به عنوان نفقه در اختيار وی قرار داده شده است استفاده نکند، آيا زوج حق استرداد مازاد را خواهد داشت؟</w:t>
      </w:r>
    </w:p>
    <w:p w14:paraId="536BB253"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در کلمات محقق گذشت که زوج چنين حقی ندارد و بلکه بر اين مطلب ادعای عدم خلاف شده است</w:t>
      </w:r>
      <w:r>
        <w:rPr>
          <w:rStyle w:val="FootnoteReference"/>
          <w:rFonts w:cs="Abz-2 (Badr)"/>
          <w:color w:val="000000" w:themeColor="text1"/>
          <w:sz w:val="28"/>
          <w:szCs w:val="28"/>
          <w:rtl/>
          <w:lang w:bidi="ar"/>
        </w:rPr>
        <w:footnoteReference w:id="2"/>
      </w:r>
      <w:r>
        <w:rPr>
          <w:rFonts w:cs="Abz-2 (Badr)" w:hint="cs"/>
          <w:color w:val="000000" w:themeColor="text1"/>
          <w:spacing w:val="-2"/>
          <w:sz w:val="28"/>
          <w:szCs w:val="28"/>
          <w:rtl/>
          <w:lang w:bidi="fa-IR"/>
        </w:rPr>
        <w:t>.</w:t>
      </w:r>
    </w:p>
    <w:p w14:paraId="65A4EF32"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 xml:space="preserve">حق نيز در اين مسأله اين است که در اموری که دليل بر تملّک آنها توسط زوجه وجود دارد ـ مثل طعام ـ ملکيت زوجه بر نفقه منوط بر وجود مقتضی و عدم مانع است و مصرف کردن يا نکردن نفقه، دخلی در آن ندارد. مؤيد اين مطلب </w:t>
      </w:r>
      <w:r>
        <w:rPr>
          <w:rFonts w:cs="Abz-2 (Badr)" w:hint="cs"/>
          <w:color w:val="000000" w:themeColor="text1"/>
          <w:spacing w:val="-2"/>
          <w:sz w:val="28"/>
          <w:szCs w:val="28"/>
          <w:rtl/>
          <w:lang w:bidi="fa-IR"/>
        </w:rPr>
        <w:lastRenderedPageBreak/>
        <w:t>نيز صحيحه شهاب بن عبد ربه است که سابقاً گذشت و در آن آمده است که زوجه پس از در اختيار گرفتن طعام، می</w:t>
      </w:r>
      <w:r>
        <w:rPr>
          <w:rFonts w:cs="Abz-2 (Badr)" w:hint="cs"/>
          <w:color w:val="000000" w:themeColor="text1"/>
          <w:spacing w:val="-2"/>
          <w:sz w:val="28"/>
          <w:szCs w:val="28"/>
          <w:rtl/>
          <w:lang w:bidi="fa-IR"/>
        </w:rPr>
        <w:softHyphen/>
        <w:t>تواند آن را بخورد يا هبه کند و يا صدقه دهد، و اين امر بيانگر اين است که مصرف کردن آنچه که در اختيار زوجه به عنوان نفقه قرار داده شده است توسط شخص وی، مدخليتی در ملکيت او بر آن ندارد.</w:t>
      </w:r>
    </w:p>
    <w:p w14:paraId="0379313A" w14:textId="77777777" w:rsidR="00BD5487" w:rsidRDefault="00BD5487" w:rsidP="00BD548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pacing w:val="-2"/>
          <w:sz w:val="28"/>
          <w:szCs w:val="28"/>
          <w:rtl/>
          <w:lang w:bidi="fa-IR"/>
        </w:rPr>
        <w:t>بنابر اين نفقه</w:t>
      </w:r>
      <w:r>
        <w:rPr>
          <w:rFonts w:cs="Abz-2 (Badr)" w:hint="cs"/>
          <w:color w:val="000000" w:themeColor="text1"/>
          <w:spacing w:val="-2"/>
          <w:sz w:val="28"/>
          <w:szCs w:val="28"/>
          <w:rtl/>
          <w:lang w:bidi="fa-IR"/>
        </w:rPr>
        <w:softHyphen/>
        <w:t>ای که به ملک زوجه درآمده است، وجهی ندارد که از ملک او خارج گشته و زوج حق استرداد آن را پيدا کند.</w:t>
      </w:r>
    </w:p>
    <w:p w14:paraId="5B622C4D" w14:textId="77777777" w:rsidR="00BD5487" w:rsidRDefault="00BD5487" w:rsidP="00BD5487">
      <w:pPr>
        <w:widowControl w:val="0"/>
        <w:bidi/>
        <w:spacing w:after="0" w:line="252" w:lineRule="auto"/>
        <w:ind w:firstLine="284"/>
        <w:jc w:val="both"/>
        <w:rPr>
          <w:rFonts w:cs="Abz-2 (Badr)"/>
          <w:color w:val="C45911" w:themeColor="accent2" w:themeShade="BF"/>
          <w:spacing w:val="-2"/>
          <w:sz w:val="28"/>
          <w:szCs w:val="28"/>
        </w:rPr>
      </w:pPr>
      <w:r>
        <w:rPr>
          <w:rFonts w:cs="Abz-2 (Badr)" w:hint="cs"/>
          <w:color w:val="C45911" w:themeColor="accent2" w:themeShade="BF"/>
          <w:spacing w:val="-2"/>
          <w:sz w:val="28"/>
          <w:szCs w:val="28"/>
          <w:rtl/>
        </w:rPr>
        <w:t>امر پنجم: حکم لباسی که به عنوان نفقه به زوجه داده می</w:t>
      </w:r>
      <w:r>
        <w:rPr>
          <w:rFonts w:cs="Abz-2 (Badr)" w:hint="cs"/>
          <w:color w:val="C45911" w:themeColor="accent2" w:themeShade="BF"/>
          <w:spacing w:val="-2"/>
          <w:sz w:val="28"/>
          <w:szCs w:val="28"/>
          <w:rtl/>
        </w:rPr>
        <w:softHyphen/>
        <w:t>شود</w:t>
      </w:r>
    </w:p>
    <w:p w14:paraId="604A6295"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t>در خصوص اين که لباسی که به زوجه به عنوان نفقه داده می</w:t>
      </w:r>
      <w:r>
        <w:rPr>
          <w:rFonts w:cs="Abz-2 (Badr)" w:hint="cs"/>
          <w:color w:val="000000" w:themeColor="text1"/>
          <w:spacing w:val="-2"/>
          <w:sz w:val="28"/>
          <w:szCs w:val="28"/>
          <w:rtl/>
        </w:rPr>
        <w:softHyphen/>
        <w:t>شود، آيا ملک وی می</w:t>
      </w:r>
      <w:r>
        <w:rPr>
          <w:rFonts w:cs="Abz-2 (Badr)" w:hint="cs"/>
          <w:color w:val="000000" w:themeColor="text1"/>
          <w:spacing w:val="-2"/>
          <w:sz w:val="28"/>
          <w:szCs w:val="28"/>
          <w:rtl/>
        </w:rPr>
        <w:softHyphen/>
        <w:t>گردد يا خير، در بين اصحاب اختلاف وجود دارد.</w:t>
      </w:r>
    </w:p>
    <w:p w14:paraId="20B4DB74"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t xml:space="preserve">شيخ در مبسوط فرموده است: </w:t>
      </w:r>
      <w:r>
        <w:rPr>
          <w:rFonts w:cs="Abz-2 (Badr)" w:hint="cs"/>
          <w:color w:val="0070C0"/>
          <w:spacing w:val="-2"/>
          <w:sz w:val="28"/>
          <w:szCs w:val="28"/>
          <w:rtl/>
        </w:rPr>
        <w:t>«</w:t>
      </w:r>
      <w:r>
        <w:rPr>
          <w:rFonts w:cs="Abz-2 (Badr)" w:hint="cs"/>
          <w:color w:val="0070C0"/>
          <w:spacing w:val="-2"/>
          <w:sz w:val="28"/>
          <w:szCs w:val="28"/>
          <w:rtl/>
          <w:lang w:bidi="ar"/>
        </w:rPr>
        <w:t>إذا أسلم إليها الكسوة، فقد ملكتها على الإطلاق، تتصرّف فيها كيف شاءت.»</w:t>
      </w:r>
      <w:r>
        <w:rPr>
          <w:rStyle w:val="FootnoteReference"/>
          <w:rFonts w:cs="Abz-2 (Badr)"/>
          <w:color w:val="000000" w:themeColor="text1"/>
          <w:sz w:val="28"/>
          <w:szCs w:val="28"/>
          <w:rtl/>
          <w:lang w:bidi="ar"/>
        </w:rPr>
        <w:footnoteReference w:id="3"/>
      </w:r>
    </w:p>
    <w:p w14:paraId="5553A524"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t>از کلمات محقق نيز که در ابتدای بحث گذشت، معلوم می</w:t>
      </w:r>
      <w:r>
        <w:rPr>
          <w:rFonts w:cs="Abz-2 (Badr)" w:hint="cs"/>
          <w:color w:val="000000" w:themeColor="text1"/>
          <w:spacing w:val="-2"/>
          <w:sz w:val="28"/>
          <w:szCs w:val="28"/>
          <w:rtl/>
        </w:rPr>
        <w:softHyphen/>
        <w:t>شود که ايشان نيز قائل به ملکيت زوجه بر کسوه هستند.</w:t>
      </w:r>
    </w:p>
    <w:p w14:paraId="04F3322B" w14:textId="77777777" w:rsidR="00BD5487" w:rsidRDefault="00BD5487" w:rsidP="00BD5487">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rPr>
        <w:t>علامه نيز در قواعد می</w:t>
      </w:r>
      <w:r>
        <w:rPr>
          <w:rFonts w:cs="Abz-2 (Badr)" w:hint="cs"/>
          <w:color w:val="000000" w:themeColor="text1"/>
          <w:spacing w:val="-2"/>
          <w:sz w:val="28"/>
          <w:szCs w:val="28"/>
          <w:rtl/>
        </w:rPr>
        <w:softHyphen/>
        <w:t xml:space="preserve">فرمايد: </w:t>
      </w:r>
      <w:r>
        <w:rPr>
          <w:rFonts w:cs="Abz-2 (Badr)" w:hint="cs"/>
          <w:color w:val="0070C0"/>
          <w:spacing w:val="-2"/>
          <w:sz w:val="28"/>
          <w:szCs w:val="28"/>
          <w:rtl/>
        </w:rPr>
        <w:t>«</w:t>
      </w:r>
      <w:r>
        <w:rPr>
          <w:rFonts w:cs="Abz-2 (Badr)" w:hint="cs"/>
          <w:color w:val="0070C0"/>
          <w:spacing w:val="-2"/>
          <w:sz w:val="28"/>
          <w:szCs w:val="28"/>
          <w:rtl/>
          <w:lang w:bidi="ar"/>
        </w:rPr>
        <w:t>هل الواجب في الكسوة الإمتاع أو التمليك‌؟ إشكال، أقربه الثاني.»</w:t>
      </w:r>
      <w:r>
        <w:rPr>
          <w:rStyle w:val="FootnoteReference"/>
          <w:rFonts w:cs="Abz-2 (Badr)" w:hint="cs"/>
          <w:color w:val="000000" w:themeColor="text1"/>
          <w:sz w:val="28"/>
          <w:szCs w:val="28"/>
          <w:rtl/>
          <w:lang w:bidi="ar"/>
        </w:rPr>
        <w:t xml:space="preserve"> </w:t>
      </w:r>
      <w:r>
        <w:rPr>
          <w:rStyle w:val="FootnoteReference"/>
          <w:rFonts w:cs="Abz-2 (Badr)"/>
          <w:color w:val="000000" w:themeColor="text1"/>
          <w:sz w:val="28"/>
          <w:szCs w:val="28"/>
          <w:rtl/>
          <w:lang w:bidi="ar"/>
        </w:rPr>
        <w:footnoteReference w:id="4"/>
      </w:r>
    </w:p>
    <w:p w14:paraId="00D8582B" w14:textId="77777777" w:rsidR="00BD5487" w:rsidRDefault="00BD5487" w:rsidP="00BD5487">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rPr>
        <w:t>در تحرير نيز می</w:t>
      </w:r>
      <w:r>
        <w:rPr>
          <w:rFonts w:cs="Abz-2 (Badr)" w:hint="cs"/>
          <w:color w:val="000000" w:themeColor="text1"/>
          <w:spacing w:val="-2"/>
          <w:sz w:val="28"/>
          <w:szCs w:val="28"/>
          <w:rtl/>
        </w:rPr>
        <w:softHyphen/>
        <w:t>فرمايد</w:t>
      </w:r>
      <w:r>
        <w:rPr>
          <w:rFonts w:cs="Abz-2 (Badr)" w:hint="cs"/>
          <w:color w:val="0070C0"/>
          <w:spacing w:val="-2"/>
          <w:sz w:val="28"/>
          <w:szCs w:val="28"/>
          <w:rtl/>
        </w:rPr>
        <w:t>: «</w:t>
      </w:r>
      <w:r>
        <w:rPr>
          <w:rFonts w:cs="Abz-2 (Badr)" w:hint="cs"/>
          <w:color w:val="0070C0"/>
          <w:spacing w:val="-2"/>
          <w:sz w:val="28"/>
          <w:szCs w:val="28"/>
          <w:rtl/>
          <w:lang w:bidi="ar"/>
        </w:rPr>
        <w:t>يكفي في الكسوة الإمتاع دون التمليك على إشكال.»</w:t>
      </w:r>
      <w:r>
        <w:rPr>
          <w:rStyle w:val="FootnoteReference"/>
          <w:rFonts w:cs="Abz-2 (Badr)"/>
          <w:color w:val="000000" w:themeColor="text1"/>
          <w:sz w:val="28"/>
          <w:szCs w:val="28"/>
          <w:rtl/>
          <w:lang w:bidi="ar"/>
        </w:rPr>
        <w:footnoteReference w:id="5"/>
      </w:r>
    </w:p>
    <w:p w14:paraId="06BB141C" w14:textId="77777777" w:rsidR="00BD5487" w:rsidRDefault="00BD5487" w:rsidP="00BD5487">
      <w:pPr>
        <w:widowControl w:val="0"/>
        <w:bidi/>
        <w:spacing w:after="0"/>
        <w:ind w:firstLine="284"/>
        <w:jc w:val="both"/>
        <w:rPr>
          <w:rFonts w:cs="Abz-2 (Badr)" w:hint="cs"/>
          <w:color w:val="0070C0"/>
          <w:spacing w:val="-2"/>
          <w:sz w:val="28"/>
          <w:szCs w:val="28"/>
          <w:rtl/>
          <w:lang w:bidi="ar"/>
        </w:rPr>
      </w:pPr>
      <w:r>
        <w:rPr>
          <w:rFonts w:cs="Abz-2 (Badr)" w:hint="cs"/>
          <w:color w:val="000000" w:themeColor="text1"/>
          <w:spacing w:val="-2"/>
          <w:sz w:val="28"/>
          <w:szCs w:val="28"/>
          <w:rtl/>
        </w:rPr>
        <w:t>اما در ارشاد فرموده</w:t>
      </w:r>
      <w:r>
        <w:rPr>
          <w:rFonts w:cs="Abz-2 (Badr)" w:hint="cs"/>
          <w:color w:val="000000" w:themeColor="text1"/>
          <w:spacing w:val="-2"/>
          <w:sz w:val="28"/>
          <w:szCs w:val="28"/>
          <w:rtl/>
        </w:rPr>
        <w:softHyphen/>
        <w:t xml:space="preserve">اند: </w:t>
      </w:r>
      <w:r>
        <w:rPr>
          <w:rFonts w:cs="Abz-2 (Badr)" w:hint="cs"/>
          <w:color w:val="0070C0"/>
          <w:spacing w:val="-2"/>
          <w:sz w:val="28"/>
          <w:szCs w:val="28"/>
          <w:rtl/>
        </w:rPr>
        <w:t>«</w:t>
      </w:r>
      <w:r>
        <w:rPr>
          <w:rFonts w:cs="Abz-2 (Badr)" w:hint="cs"/>
          <w:color w:val="0070C0"/>
          <w:spacing w:val="-2"/>
          <w:sz w:val="28"/>
          <w:szCs w:val="28"/>
          <w:rtl/>
          <w:lang w:bidi="ar"/>
        </w:rPr>
        <w:t>لا يجب في الكسوة والمسكن والأثاث التمليك بل الامتاع.»</w:t>
      </w:r>
      <w:r>
        <w:rPr>
          <w:rStyle w:val="FootnoteReference"/>
          <w:rFonts w:cs="Abz-2 (Badr)"/>
          <w:color w:val="000000" w:themeColor="text1"/>
          <w:sz w:val="28"/>
          <w:szCs w:val="28"/>
          <w:rtl/>
          <w:lang w:bidi="ar"/>
        </w:rPr>
        <w:footnoteReference w:id="6"/>
      </w:r>
    </w:p>
    <w:p w14:paraId="51FF2946" w14:textId="77777777" w:rsidR="00BD5487" w:rsidRDefault="00BD5487" w:rsidP="00BD5487">
      <w:pPr>
        <w:widowControl w:val="0"/>
        <w:bidi/>
        <w:spacing w:after="0"/>
        <w:ind w:firstLine="284"/>
        <w:jc w:val="both"/>
        <w:rPr>
          <w:rFonts w:cs="Abz-2 (Badr)" w:hint="cs"/>
          <w:color w:val="0070C0"/>
          <w:spacing w:val="-2"/>
          <w:sz w:val="28"/>
          <w:szCs w:val="28"/>
          <w:rtl/>
          <w:lang w:bidi="ar"/>
        </w:rPr>
      </w:pPr>
      <w:r>
        <w:rPr>
          <w:rFonts w:cs="Abz-2 (Badr)" w:hint="cs"/>
          <w:color w:val="000000" w:themeColor="text1"/>
          <w:spacing w:val="-2"/>
          <w:sz w:val="28"/>
          <w:szCs w:val="28"/>
          <w:rtl/>
          <w:lang w:bidi="ar"/>
        </w:rPr>
        <w:t>فخر المحقّقين در توضيح وجه اشکال علامه در مسأله می</w:t>
      </w:r>
      <w:r>
        <w:rPr>
          <w:rFonts w:cs="Abz-2 (Badr)" w:hint="cs"/>
          <w:color w:val="000000" w:themeColor="text1"/>
          <w:spacing w:val="-2"/>
          <w:sz w:val="28"/>
          <w:szCs w:val="28"/>
          <w:rtl/>
          <w:lang w:bidi="ar"/>
        </w:rPr>
        <w:softHyphen/>
        <w:t xml:space="preserve">فرمايد: </w:t>
      </w:r>
      <w:r>
        <w:rPr>
          <w:rFonts w:cs="Abz-2 (Badr)" w:hint="cs"/>
          <w:color w:val="0070C0"/>
          <w:spacing w:val="-2"/>
          <w:sz w:val="28"/>
          <w:szCs w:val="28"/>
          <w:rtl/>
          <w:lang w:bidi="ar"/>
        </w:rPr>
        <w:t xml:space="preserve">«ينشأ من أنّ الغاية من وجوب الكسوة، الستر كالسكنى، وهو يحصل بالإمتاع كالسكنى. ولأصالة براءة الذمة من وجوب التمليك، لقوله تعالى: </w:t>
      </w:r>
      <w:r>
        <w:rPr>
          <w:rFonts w:cs="QuranTaha" w:hint="cs"/>
          <w:color w:val="BF8F00" w:themeColor="accent4" w:themeShade="BF"/>
          <w:spacing w:val="-2"/>
          <w:sz w:val="26"/>
          <w:szCs w:val="26"/>
          <w:rtl/>
          <w:lang w:bidi="ar"/>
        </w:rPr>
        <w:t>«وَكِسْوَتُهُنَّ»</w:t>
      </w:r>
      <w:r>
        <w:rPr>
          <w:rStyle w:val="FootnoteReference"/>
          <w:rFonts w:cs="Abz-2 (Badr)"/>
          <w:color w:val="000000" w:themeColor="text1"/>
          <w:sz w:val="28"/>
          <w:szCs w:val="28"/>
          <w:rtl/>
          <w:lang w:bidi="ar"/>
        </w:rPr>
        <w:footnoteReference w:id="7"/>
      </w:r>
      <w:r>
        <w:rPr>
          <w:rFonts w:cs="Abz-2 (Badr)" w:hint="cs"/>
          <w:color w:val="0070C0"/>
          <w:spacing w:val="-2"/>
          <w:sz w:val="28"/>
          <w:szCs w:val="28"/>
          <w:rtl/>
          <w:lang w:bidi="ar"/>
        </w:rPr>
        <w:t xml:space="preserve"> وهي للمال ويتمّ بالإمتاع، وإيجاب التمليك يستلزم زيادة إضمار من غير ضرورة.</w:t>
      </w:r>
    </w:p>
    <w:p w14:paraId="44DF4320" w14:textId="77777777" w:rsidR="00BD5487" w:rsidRDefault="00BD5487" w:rsidP="00BD5487">
      <w:pPr>
        <w:widowControl w:val="0"/>
        <w:bidi/>
        <w:spacing w:after="0"/>
        <w:ind w:firstLine="284"/>
        <w:jc w:val="both"/>
        <w:rPr>
          <w:rFonts w:cs="Abz-2 (Badr)" w:hint="cs"/>
          <w:color w:val="0070C0"/>
          <w:spacing w:val="-2"/>
          <w:sz w:val="28"/>
          <w:szCs w:val="28"/>
          <w:rtl/>
          <w:lang w:bidi="ar"/>
        </w:rPr>
      </w:pPr>
      <w:r>
        <w:rPr>
          <w:rFonts w:cs="Abz-2 (Badr)" w:hint="cs"/>
          <w:color w:val="0070C0"/>
          <w:spacing w:val="-2"/>
          <w:sz w:val="28"/>
          <w:szCs w:val="28"/>
          <w:rtl/>
          <w:lang w:bidi="ar"/>
        </w:rPr>
        <w:lastRenderedPageBreak/>
        <w:t>ومن أنّ الإمتاع لها متلف فكانت كالطعام.</w:t>
      </w:r>
    </w:p>
    <w:p w14:paraId="441EF8F1" w14:textId="77777777" w:rsidR="00BD5487" w:rsidRDefault="00BD5487" w:rsidP="00BD5487">
      <w:pPr>
        <w:widowControl w:val="0"/>
        <w:bidi/>
        <w:spacing w:after="0"/>
        <w:ind w:firstLine="284"/>
        <w:jc w:val="both"/>
        <w:rPr>
          <w:rFonts w:cs="Abz-2 (Badr)" w:hint="cs"/>
          <w:color w:val="0070C0"/>
          <w:spacing w:val="-2"/>
          <w:sz w:val="28"/>
          <w:szCs w:val="28"/>
          <w:rtl/>
          <w:lang w:bidi="ar"/>
        </w:rPr>
      </w:pPr>
      <w:r>
        <w:rPr>
          <w:rFonts w:cs="Abz-2 (Badr)" w:hint="cs"/>
          <w:color w:val="0070C0"/>
          <w:spacing w:val="-2"/>
          <w:sz w:val="28"/>
          <w:szCs w:val="28"/>
          <w:rtl/>
          <w:lang w:bidi="ar"/>
        </w:rPr>
        <w:t xml:space="preserve">واختار إمام المجتهدين والدي المصنّف الثاني وهو التمليك، وهو الأقوى عندي، لقوله تعالى: </w:t>
      </w:r>
      <w:r>
        <w:rPr>
          <w:rFonts w:cs="QuranTaha" w:hint="cs"/>
          <w:color w:val="BF8F00" w:themeColor="accent4" w:themeShade="BF"/>
          <w:spacing w:val="-2"/>
          <w:sz w:val="26"/>
          <w:szCs w:val="26"/>
          <w:rtl/>
          <w:lang w:bidi="ar"/>
        </w:rPr>
        <w:t>«وَعَلَى الْمَوْلُودِ لَهُ‌ رِزْقُهُنَّ وَكِسْوَتُهُنَّ»</w:t>
      </w:r>
      <w:r>
        <w:rPr>
          <w:rFonts w:cs="Abz-2 (Badr)" w:hint="cs"/>
          <w:color w:val="0070C0"/>
          <w:spacing w:val="-2"/>
          <w:sz w:val="28"/>
          <w:szCs w:val="28"/>
          <w:rtl/>
          <w:lang w:bidi="ar"/>
        </w:rPr>
        <w:t xml:space="preserve"> عطفها على الرزق، فيكون الواجب فيهما واحداً، لأن قضيّة العطف التسوية في الحكم المتقدّم، وهو في الرزق التمليك، فكذا في الكسوة.</w:t>
      </w:r>
    </w:p>
    <w:p w14:paraId="734118FA" w14:textId="77777777" w:rsidR="00BD5487" w:rsidRDefault="00BD5487" w:rsidP="00BD5487">
      <w:pPr>
        <w:widowControl w:val="0"/>
        <w:bidi/>
        <w:spacing w:after="0"/>
        <w:ind w:firstLine="284"/>
        <w:jc w:val="both"/>
        <w:rPr>
          <w:rFonts w:cs="Abz-2 (Badr)" w:hint="cs"/>
          <w:color w:val="0070C0"/>
          <w:spacing w:val="-2"/>
          <w:sz w:val="28"/>
          <w:szCs w:val="28"/>
          <w:rtl/>
          <w:lang w:bidi="fa-IR"/>
        </w:rPr>
      </w:pPr>
      <w:r>
        <w:rPr>
          <w:rFonts w:cs="Abz-2 (Badr)" w:hint="cs"/>
          <w:color w:val="0070C0"/>
          <w:spacing w:val="-2"/>
          <w:sz w:val="28"/>
          <w:szCs w:val="28"/>
          <w:rtl/>
          <w:lang w:bidi="ar"/>
        </w:rPr>
        <w:t>ولقوله(ع): «ولهنّ عليكم رزقهنّ وكسوتهن بالمعروف»</w:t>
      </w:r>
      <w:r>
        <w:rPr>
          <w:rStyle w:val="FootnoteReference"/>
          <w:rFonts w:cs="Abz-2 (Badr)"/>
          <w:color w:val="000000" w:themeColor="text1"/>
          <w:sz w:val="28"/>
          <w:szCs w:val="28"/>
          <w:rtl/>
          <w:lang w:bidi="ar"/>
        </w:rPr>
        <w:footnoteReference w:id="8"/>
      </w:r>
      <w:r>
        <w:rPr>
          <w:rFonts w:cs="Abz-2 (Badr)" w:hint="cs"/>
          <w:color w:val="0070C0"/>
          <w:spacing w:val="-2"/>
          <w:sz w:val="28"/>
          <w:szCs w:val="28"/>
          <w:rtl/>
          <w:lang w:bidi="ar"/>
        </w:rPr>
        <w:t xml:space="preserve"> واللام للتمليك.»</w:t>
      </w:r>
      <w:r>
        <w:rPr>
          <w:rStyle w:val="FootnoteReference"/>
          <w:rFonts w:cs="Abz-2 (Badr)"/>
          <w:color w:val="000000" w:themeColor="text1"/>
          <w:sz w:val="28"/>
          <w:szCs w:val="28"/>
          <w:rtl/>
          <w:lang w:bidi="ar"/>
        </w:rPr>
        <w:footnoteReference w:id="9"/>
      </w:r>
    </w:p>
    <w:p w14:paraId="23683073" w14:textId="77777777" w:rsidR="00BD5487" w:rsidRDefault="00BD5487" w:rsidP="00BD5487">
      <w:pPr>
        <w:widowControl w:val="0"/>
        <w:bidi/>
        <w:spacing w:after="0"/>
        <w:ind w:firstLine="284"/>
        <w:jc w:val="both"/>
        <w:rPr>
          <w:rFonts w:cs="Abz-2 (Badr)" w:hint="cs"/>
          <w:color w:val="000000" w:themeColor="text1"/>
          <w:spacing w:val="-2"/>
          <w:sz w:val="28"/>
          <w:szCs w:val="28"/>
          <w:rtl/>
        </w:rPr>
      </w:pPr>
      <w:r>
        <w:rPr>
          <w:rFonts w:cs="Abz-2 (Badr)" w:hint="cs"/>
          <w:color w:val="000000" w:themeColor="text1"/>
          <w:spacing w:val="-2"/>
          <w:sz w:val="28"/>
          <w:szCs w:val="28"/>
          <w:rtl/>
        </w:rPr>
        <w:t>اما شهيد ثانی بعد از نقل استدلالات مذکور، به آنها اشکال گرفته است که فرمايشات ايشان را جلسه آينده بررسی خواهيم کرد ان شاء الله.</w:t>
      </w:r>
    </w:p>
    <w:p w14:paraId="6F17688B" w14:textId="77777777" w:rsidR="00BD5487" w:rsidRDefault="00BD5487" w:rsidP="00BD5487">
      <w:pPr>
        <w:rPr>
          <w:rFonts w:cs="Abz-2 (Badr)" w:hint="cs"/>
          <w:color w:val="000000" w:themeColor="text1"/>
          <w:spacing w:val="-2"/>
          <w:sz w:val="28"/>
          <w:szCs w:val="28"/>
          <w:rtl/>
        </w:rPr>
      </w:pPr>
      <w:r>
        <w:rPr>
          <w:rFonts w:cs="Abz-2 (Badr)" w:hint="cs"/>
          <w:color w:val="000000" w:themeColor="text1"/>
          <w:spacing w:val="-2"/>
          <w:sz w:val="28"/>
          <w:szCs w:val="28"/>
          <w:rtl/>
        </w:rPr>
        <w:br w:type="page"/>
      </w:r>
    </w:p>
    <w:p w14:paraId="7012823F"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lastRenderedPageBreak/>
        <w:t>قلنا في الجلسة السابقة: إنّه في مسألة اشتغال ذمّة الزوج بنفقة الزوجة، ذهب بعض العامّة إلى التفريق بين ما إذا كان هناك حكم من الحاكم وما إذا لم يكن.</w:t>
      </w:r>
    </w:p>
    <w:p w14:paraId="111B9E81" w14:textId="77777777" w:rsidR="00BD5487" w:rsidRDefault="00BD5487" w:rsidP="00BD5487">
      <w:pPr>
        <w:widowControl w:val="0"/>
        <w:bidi/>
        <w:spacing w:after="0" w:line="252" w:lineRule="auto"/>
        <w:ind w:firstLine="284"/>
        <w:jc w:val="both"/>
        <w:rPr>
          <w:rFonts w:cs="Abz-2 (Badr)" w:hint="cs"/>
          <w:color w:val="0070C0"/>
          <w:spacing w:val="-2"/>
          <w:sz w:val="28"/>
          <w:szCs w:val="28"/>
          <w:rtl/>
        </w:rPr>
      </w:pPr>
      <w:r>
        <w:rPr>
          <w:rFonts w:cs="Abz-2 (Badr)" w:hint="cs"/>
          <w:color w:val="000000" w:themeColor="text1"/>
          <w:spacing w:val="-2"/>
          <w:sz w:val="28"/>
          <w:szCs w:val="28"/>
          <w:rtl/>
        </w:rPr>
        <w:t>قال ابن قدامة في هذا المجال</w:t>
      </w:r>
      <w:r>
        <w:rPr>
          <w:rFonts w:cs="Abz-2 (Badr)" w:hint="cs"/>
          <w:color w:val="000000" w:themeColor="text1"/>
          <w:spacing w:val="-2"/>
          <w:sz w:val="28"/>
          <w:szCs w:val="28"/>
          <w:rtl/>
          <w:lang w:bidi="fa-IR"/>
        </w:rPr>
        <w:t xml:space="preserve">: </w:t>
      </w:r>
      <w:r>
        <w:rPr>
          <w:rFonts w:cs="Abz-2 (Badr)" w:hint="cs"/>
          <w:color w:val="0070C0"/>
          <w:spacing w:val="-2"/>
          <w:sz w:val="28"/>
          <w:szCs w:val="28"/>
          <w:rtl/>
          <w:lang w:bidi="fa-IR"/>
        </w:rPr>
        <w:t>«</w:t>
      </w:r>
      <w:r>
        <w:rPr>
          <w:rFonts w:cs="Abz-2 (Badr)" w:hint="cs"/>
          <w:color w:val="0070C0"/>
          <w:spacing w:val="-2"/>
          <w:sz w:val="28"/>
          <w:szCs w:val="28"/>
          <w:rtl/>
        </w:rPr>
        <w:t>من ترك الإنفاق الواجب لامرأته مدّة، لم يسقط بذلك وكانت ديناً في ذمّته ـ سواء تركها لعذر أو غير عذر ـ في أظهر الروايتين؛ وهذا قول الحسن، ومالك، والشافعي، وإسحاق، وابن المنذر.</w:t>
      </w:r>
    </w:p>
    <w:p w14:paraId="6B9C78D4" w14:textId="77777777" w:rsidR="00BD5487" w:rsidRDefault="00BD5487" w:rsidP="00BD5487">
      <w:pPr>
        <w:widowControl w:val="0"/>
        <w:bidi/>
        <w:spacing w:after="0" w:line="252" w:lineRule="auto"/>
        <w:ind w:firstLine="284"/>
        <w:jc w:val="both"/>
        <w:rPr>
          <w:rFonts w:cs="Abz-2 (Badr)" w:hint="cs"/>
          <w:color w:val="4472C4" w:themeColor="accent1"/>
          <w:spacing w:val="-2"/>
          <w:sz w:val="28"/>
          <w:szCs w:val="28"/>
          <w:rtl/>
          <w:lang w:bidi="fa-IR"/>
        </w:rPr>
      </w:pPr>
      <w:r>
        <w:rPr>
          <w:rFonts w:cs="Abz-2 (Badr)" w:hint="cs"/>
          <w:color w:val="0070C0"/>
          <w:spacing w:val="-2"/>
          <w:sz w:val="28"/>
          <w:szCs w:val="28"/>
          <w:rtl/>
        </w:rPr>
        <w:t>والرواية الأُخرى: تسقط نفقتها ما لم يكن الحاكم قد فرضها لها؛ وهذا مذهب أبي حنيفة، لأنّها نفقة تجب يوماً فيوماً، فتسقط بتأخيرها إذا لم يفرضها الحاكم كنفقة الأقارب، لأنّ نفقة الماضي قد استغني عنها بمضيّ وقتها، فتسقط، كنفقة الأقارب.»</w:t>
      </w:r>
      <w:r>
        <w:rPr>
          <w:rStyle w:val="FootnoteReference"/>
          <w:rFonts w:cs="Abz-2 (Badr)"/>
          <w:color w:val="000000" w:themeColor="text1"/>
          <w:sz w:val="28"/>
          <w:szCs w:val="28"/>
          <w:rtl/>
          <w:lang w:bidi="ar"/>
        </w:rPr>
        <w:footnoteReference w:id="10"/>
      </w:r>
    </w:p>
    <w:p w14:paraId="6CD43F2B"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rPr>
        <w:t>ولكن لا وجه لهذا التفصيل؛ إذ لو لم نعتبر وجوب النفقة شرعاً على الزوج مستلزماً لاشتغال ذمّته، فإنّ مجرّد تقدير القاضي لها وحكمه بها لا يوجب اشتغال الذمّة</w:t>
      </w:r>
      <w:r>
        <w:rPr>
          <w:rFonts w:cs="Abz-2 (Badr)" w:hint="cs"/>
          <w:color w:val="000000" w:themeColor="text1"/>
          <w:spacing w:val="-2"/>
          <w:sz w:val="28"/>
          <w:szCs w:val="28"/>
          <w:rtl/>
          <w:lang w:bidi="fa-IR"/>
        </w:rPr>
        <w:t>.</w:t>
      </w:r>
    </w:p>
    <w:p w14:paraId="25885307" w14:textId="77777777" w:rsidR="00BD5487" w:rsidRDefault="00BD5487" w:rsidP="00BD5487">
      <w:pPr>
        <w:widowControl w:val="0"/>
        <w:bidi/>
        <w:spacing w:after="0" w:line="252" w:lineRule="auto"/>
        <w:ind w:firstLine="284"/>
        <w:jc w:val="both"/>
        <w:rPr>
          <w:rFonts w:cs="Abz-2 (Badr)" w:hint="cs"/>
          <w:color w:val="C45911" w:themeColor="accent2" w:themeShade="BF"/>
          <w:spacing w:val="-2"/>
          <w:sz w:val="28"/>
          <w:szCs w:val="28"/>
          <w:rtl/>
        </w:rPr>
      </w:pPr>
      <w:r>
        <w:rPr>
          <w:rFonts w:cs="Abz-2 (Badr)" w:hint="cs"/>
          <w:color w:val="C45911" w:themeColor="accent2" w:themeShade="BF"/>
          <w:spacing w:val="-2"/>
          <w:sz w:val="28"/>
          <w:szCs w:val="28"/>
          <w:rtl/>
        </w:rPr>
        <w:t>الأمر الرابع: استرداد ما لم تصرفه الزوجة من النفقة</w:t>
      </w:r>
    </w:p>
    <w:p w14:paraId="79E5F780"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t>إذا لم تصرف الزوجة ـ بسبب الاقتصاد والتقتير ـ تمام ما وضع تحت تصرّفها بعنوان النفقة، فهل يكون للزوج حقّ استرداد الزائد؟</w:t>
      </w:r>
    </w:p>
    <w:p w14:paraId="0654E00A"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rPr>
        <w:t>تقدّم في كلمات المحقّق أنّه لا حقّ للزوج في ذلك، بل ادّعي عدم الخلاف فيه</w:t>
      </w:r>
      <w:r>
        <w:rPr>
          <w:rStyle w:val="FootnoteReference"/>
          <w:rFonts w:cs="Abz-2 (Badr)"/>
          <w:color w:val="000000" w:themeColor="text1"/>
          <w:sz w:val="28"/>
          <w:szCs w:val="28"/>
          <w:rtl/>
          <w:lang w:bidi="ar"/>
        </w:rPr>
        <w:footnoteReference w:id="11"/>
      </w:r>
      <w:r>
        <w:rPr>
          <w:rFonts w:cs="Abz-2 (Badr)" w:hint="cs"/>
          <w:color w:val="000000" w:themeColor="text1"/>
          <w:spacing w:val="-2"/>
          <w:sz w:val="28"/>
          <w:szCs w:val="28"/>
          <w:rtl/>
          <w:lang w:bidi="fa-IR"/>
        </w:rPr>
        <w:t>.</w:t>
      </w:r>
    </w:p>
    <w:p w14:paraId="0123A0E6"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bookmarkStart w:id="1" w:name="_Hlk217809592"/>
      <w:r>
        <w:rPr>
          <w:rFonts w:cs="Abz-2 (Badr)" w:hint="cs"/>
          <w:color w:val="000000" w:themeColor="text1"/>
          <w:spacing w:val="-2"/>
          <w:sz w:val="28"/>
          <w:szCs w:val="28"/>
          <w:rtl/>
        </w:rPr>
        <w:t xml:space="preserve">والحقّ في هذه المسألة أنّه في الأُمور التي قام الدليل على تملّك الزوجة لها ـ كالأطعمة ـ تكون ملكيّة الزوجة للنفقة منوطة بوجود المقتضي وعدم المانع، </w:t>
      </w:r>
      <w:r>
        <w:rPr>
          <w:rFonts w:cs="Abz-2 (Badr)" w:hint="cs"/>
          <w:color w:val="000000" w:themeColor="text1"/>
          <w:spacing w:val="-2"/>
          <w:sz w:val="28"/>
          <w:szCs w:val="28"/>
          <w:rtl/>
          <w:lang w:bidi="fa-IR"/>
        </w:rPr>
        <w:t xml:space="preserve">ولا مدخليّة لكون </w:t>
      </w:r>
      <w:r>
        <w:rPr>
          <w:rFonts w:cs="Abz-2 (Badr)" w:hint="cs"/>
          <w:color w:val="000000" w:themeColor="text1"/>
          <w:spacing w:val="-2"/>
          <w:sz w:val="28"/>
          <w:szCs w:val="28"/>
          <w:rtl/>
        </w:rPr>
        <w:t>ما أخذته الزوجة</w:t>
      </w:r>
      <w:r>
        <w:rPr>
          <w:rFonts w:cs="Abz-2 (Badr)" w:hint="cs"/>
          <w:color w:val="000000" w:themeColor="text1"/>
          <w:spacing w:val="-2"/>
          <w:sz w:val="28"/>
          <w:szCs w:val="28"/>
          <w:rtl/>
          <w:lang w:bidi="fa-IR"/>
        </w:rPr>
        <w:t xml:space="preserve"> قد صرفته أو لم تصرفه في ذلك</w:t>
      </w:r>
      <w:r>
        <w:rPr>
          <w:rFonts w:cs="Abz-2 (Badr)" w:hint="cs"/>
          <w:color w:val="000000" w:themeColor="text1"/>
          <w:spacing w:val="-2"/>
          <w:sz w:val="28"/>
          <w:szCs w:val="28"/>
          <w:rtl/>
        </w:rPr>
        <w:t>. وتؤيّد ذلك صحيحة شهاب بن عبد ربّه التي تقدّمت سابقاً وقد ورد فيها أنّ الزوجة بعد أن تتسلّم الطعام، يجوز لها أن تأكله أو تهبه أو تتصدّق به، وهذا يدلّ على أنّ صرف ما وضع تحت تصرّف الزوجة بعنوان النفقة من قبلها لا مدخليّة له في ثبوت ملكيّتها له.</w:t>
      </w:r>
    </w:p>
    <w:p w14:paraId="4EE0530C"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t>وبناءً على ذلك فالنفقة التي دخلت في ملك الزوجة لا وجه لخروجها عن ملكها ولا لثبوت حقّ الاسترداد للزوج فيها.</w:t>
      </w:r>
    </w:p>
    <w:p w14:paraId="0EDED5BF" w14:textId="77777777" w:rsidR="00BD5487" w:rsidRDefault="00BD5487" w:rsidP="00BD5487">
      <w:pPr>
        <w:widowControl w:val="0"/>
        <w:bidi/>
        <w:spacing w:after="0" w:line="252" w:lineRule="auto"/>
        <w:ind w:firstLine="284"/>
        <w:jc w:val="both"/>
        <w:rPr>
          <w:rFonts w:cs="Abz-2 (Badr)" w:hint="cs"/>
          <w:color w:val="C45911" w:themeColor="accent2" w:themeShade="BF"/>
          <w:spacing w:val="-2"/>
          <w:sz w:val="28"/>
          <w:szCs w:val="28"/>
          <w:rtl/>
        </w:rPr>
      </w:pPr>
      <w:r>
        <w:rPr>
          <w:rFonts w:cs="Abz-2 (Badr)" w:hint="cs"/>
          <w:color w:val="C45911" w:themeColor="accent2" w:themeShade="BF"/>
          <w:spacing w:val="-2"/>
          <w:sz w:val="28"/>
          <w:szCs w:val="28"/>
          <w:rtl/>
        </w:rPr>
        <w:t>الأمر الخامس: حكم الکسوة</w:t>
      </w:r>
    </w:p>
    <w:p w14:paraId="15BAABEC"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lastRenderedPageBreak/>
        <w:t>وقع الخلاف بين الأصحاب في أنّ الکسوة التي تعطى للزوجة بعنوان النفقة هل تکون ملكاً لها أم لا؟</w:t>
      </w:r>
    </w:p>
    <w:p w14:paraId="356244AB"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r>
        <w:rPr>
          <w:rFonts w:cs="Abz-2 (Badr)" w:hint="cs"/>
          <w:color w:val="000000" w:themeColor="text1"/>
          <w:spacing w:val="-2"/>
          <w:sz w:val="28"/>
          <w:szCs w:val="28"/>
          <w:rtl/>
        </w:rPr>
        <w:t xml:space="preserve">قال الشيخ في المبسوط في هذا المجال: </w:t>
      </w:r>
      <w:r>
        <w:rPr>
          <w:rFonts w:cs="Abz-2 (Badr)" w:hint="cs"/>
          <w:color w:val="0070C0"/>
          <w:spacing w:val="-2"/>
          <w:sz w:val="28"/>
          <w:szCs w:val="28"/>
          <w:rtl/>
        </w:rPr>
        <w:t>«</w:t>
      </w:r>
      <w:r>
        <w:rPr>
          <w:rFonts w:cs="Abz-2 (Badr)" w:hint="cs"/>
          <w:color w:val="0070C0"/>
          <w:spacing w:val="-2"/>
          <w:sz w:val="28"/>
          <w:szCs w:val="28"/>
          <w:rtl/>
          <w:lang w:bidi="ar"/>
        </w:rPr>
        <w:t>إذا أسلم إليها الكسوة، فقد ملكتها على الإطلاق، تتصرّف فيها كيف شاءت.»</w:t>
      </w:r>
      <w:r>
        <w:rPr>
          <w:rStyle w:val="FootnoteReference"/>
          <w:rFonts w:cs="Abz-2 (Badr)"/>
          <w:color w:val="000000" w:themeColor="text1"/>
          <w:sz w:val="28"/>
          <w:szCs w:val="28"/>
          <w:rtl/>
          <w:lang w:bidi="ar"/>
        </w:rPr>
        <w:footnoteReference w:id="12"/>
      </w:r>
    </w:p>
    <w:p w14:paraId="15F115FC" w14:textId="77777777" w:rsidR="00BD5487" w:rsidRDefault="00BD5487" w:rsidP="00BD5487">
      <w:pPr>
        <w:widowControl w:val="0"/>
        <w:bidi/>
        <w:spacing w:after="0"/>
        <w:ind w:firstLine="284"/>
        <w:jc w:val="both"/>
        <w:rPr>
          <w:rFonts w:cs="Abz-2 (Badr)" w:hint="cs"/>
          <w:color w:val="000000" w:themeColor="text1"/>
          <w:spacing w:val="-2"/>
          <w:sz w:val="28"/>
          <w:szCs w:val="28"/>
          <w:rtl/>
        </w:rPr>
      </w:pPr>
      <w:r>
        <w:rPr>
          <w:rFonts w:cs="Abz-2 (Badr)" w:hint="cs"/>
          <w:color w:val="000000" w:themeColor="text1"/>
          <w:spacing w:val="-2"/>
          <w:sz w:val="28"/>
          <w:szCs w:val="28"/>
          <w:rtl/>
        </w:rPr>
        <w:t>ويستفاد من كلمات المحقّق أيضاً ـ التي تقدّمت في صدر البحث ـ أنّه يقول بملكيّة الزوجة للكسوة.</w:t>
      </w:r>
    </w:p>
    <w:p w14:paraId="5CE5316C" w14:textId="77777777" w:rsidR="00BD5487" w:rsidRDefault="00BD5487" w:rsidP="00BD5487">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rPr>
        <w:t xml:space="preserve">وكذلك قال العلامة في القواعد: </w:t>
      </w:r>
      <w:r>
        <w:rPr>
          <w:rFonts w:cs="Abz-2 (Badr)" w:hint="cs"/>
          <w:color w:val="0070C0"/>
          <w:spacing w:val="-2"/>
          <w:sz w:val="28"/>
          <w:szCs w:val="28"/>
          <w:rtl/>
        </w:rPr>
        <w:t>«</w:t>
      </w:r>
      <w:r>
        <w:rPr>
          <w:rFonts w:cs="Abz-2 (Badr)" w:hint="cs"/>
          <w:color w:val="0070C0"/>
          <w:spacing w:val="-2"/>
          <w:sz w:val="28"/>
          <w:szCs w:val="28"/>
          <w:rtl/>
          <w:lang w:bidi="ar"/>
        </w:rPr>
        <w:t>هل الواجب في الكسوة الإمتاع أو التمليك‌؟ إشكال، أقربه الثاني.»</w:t>
      </w:r>
      <w:r>
        <w:rPr>
          <w:rStyle w:val="FootnoteReference"/>
          <w:rFonts w:cs="Abz-2 (Badr)" w:hint="cs"/>
          <w:color w:val="000000" w:themeColor="text1"/>
          <w:sz w:val="28"/>
          <w:szCs w:val="28"/>
          <w:rtl/>
          <w:lang w:bidi="ar"/>
        </w:rPr>
        <w:t xml:space="preserve"> </w:t>
      </w:r>
      <w:r>
        <w:rPr>
          <w:rtl/>
        </w:rPr>
        <w:footnoteReference w:id="13"/>
      </w:r>
    </w:p>
    <w:p w14:paraId="5FA5E402" w14:textId="77777777" w:rsidR="00BD5487" w:rsidRDefault="00BD5487" w:rsidP="00BD5487">
      <w:pPr>
        <w:widowControl w:val="0"/>
        <w:bidi/>
        <w:spacing w:after="0"/>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إلا أنّه قال في ال</w:t>
      </w:r>
      <w:r>
        <w:rPr>
          <w:rFonts w:cs="Abz-2 (Badr)" w:hint="cs"/>
          <w:color w:val="000000" w:themeColor="text1"/>
          <w:spacing w:val="-2"/>
          <w:sz w:val="28"/>
          <w:szCs w:val="28"/>
          <w:rtl/>
        </w:rPr>
        <w:t>تحرير</w:t>
      </w:r>
      <w:r>
        <w:rPr>
          <w:rFonts w:cs="Abz-2 (Badr)" w:hint="cs"/>
          <w:color w:val="0070C0"/>
          <w:spacing w:val="-2"/>
          <w:sz w:val="28"/>
          <w:szCs w:val="28"/>
          <w:rtl/>
        </w:rPr>
        <w:t>: «</w:t>
      </w:r>
      <w:r>
        <w:rPr>
          <w:rFonts w:cs="Abz-2 (Badr)" w:hint="cs"/>
          <w:color w:val="0070C0"/>
          <w:spacing w:val="-2"/>
          <w:sz w:val="28"/>
          <w:szCs w:val="28"/>
          <w:rtl/>
          <w:lang w:bidi="ar"/>
        </w:rPr>
        <w:t>يكفي في الكسوة الإمتاع دون التمليك على إشكال.»</w:t>
      </w:r>
      <w:r>
        <w:rPr>
          <w:rStyle w:val="FootnoteReference"/>
          <w:rFonts w:cs="Abz-2 (Badr)"/>
          <w:color w:val="000000" w:themeColor="text1"/>
          <w:sz w:val="28"/>
          <w:szCs w:val="28"/>
          <w:rtl/>
          <w:lang w:bidi="ar"/>
        </w:rPr>
        <w:footnoteReference w:id="14"/>
      </w:r>
    </w:p>
    <w:p w14:paraId="7A291084" w14:textId="77777777" w:rsidR="00BD5487" w:rsidRDefault="00BD5487" w:rsidP="00BD5487">
      <w:pPr>
        <w:widowControl w:val="0"/>
        <w:bidi/>
        <w:spacing w:after="0"/>
        <w:ind w:firstLine="284"/>
        <w:jc w:val="both"/>
        <w:rPr>
          <w:rFonts w:cs="Abz-2 (Badr)" w:hint="cs"/>
          <w:color w:val="0070C0"/>
          <w:spacing w:val="-2"/>
          <w:sz w:val="28"/>
          <w:szCs w:val="28"/>
          <w:rtl/>
          <w:lang w:bidi="ar"/>
        </w:rPr>
      </w:pPr>
      <w:r>
        <w:rPr>
          <w:rFonts w:cs="Abz-2 (Badr)" w:hint="cs"/>
          <w:color w:val="000000" w:themeColor="text1"/>
          <w:spacing w:val="-2"/>
          <w:sz w:val="28"/>
          <w:szCs w:val="28"/>
          <w:rtl/>
        </w:rPr>
        <w:t xml:space="preserve">وقال في الإرشاد: </w:t>
      </w:r>
      <w:r>
        <w:rPr>
          <w:rFonts w:cs="Abz-2 (Badr)" w:hint="cs"/>
          <w:color w:val="0070C0"/>
          <w:spacing w:val="-2"/>
          <w:sz w:val="28"/>
          <w:szCs w:val="28"/>
          <w:rtl/>
        </w:rPr>
        <w:t>«</w:t>
      </w:r>
      <w:r>
        <w:rPr>
          <w:rFonts w:cs="Abz-2 (Badr)" w:hint="cs"/>
          <w:color w:val="0070C0"/>
          <w:spacing w:val="-2"/>
          <w:sz w:val="28"/>
          <w:szCs w:val="28"/>
          <w:rtl/>
          <w:lang w:bidi="ar"/>
        </w:rPr>
        <w:t>لا يجب في الكسوة والمسكن والأثاث التمليك بل الامتاع.»</w:t>
      </w:r>
      <w:r>
        <w:rPr>
          <w:rStyle w:val="FootnoteReference"/>
          <w:rFonts w:cs="Abz-2 (Badr)"/>
          <w:color w:val="000000" w:themeColor="text1"/>
          <w:sz w:val="28"/>
          <w:szCs w:val="28"/>
          <w:rtl/>
          <w:lang w:bidi="ar"/>
        </w:rPr>
        <w:footnoteReference w:id="15"/>
      </w:r>
    </w:p>
    <w:p w14:paraId="146B9875" w14:textId="77777777" w:rsidR="00BD5487" w:rsidRDefault="00BD5487" w:rsidP="00BD5487">
      <w:pPr>
        <w:widowControl w:val="0"/>
        <w:bidi/>
        <w:spacing w:after="0"/>
        <w:ind w:firstLine="284"/>
        <w:jc w:val="both"/>
        <w:rPr>
          <w:rFonts w:cs="Abz-2 (Badr)" w:hint="cs"/>
          <w:color w:val="0070C0"/>
          <w:spacing w:val="-2"/>
          <w:sz w:val="28"/>
          <w:szCs w:val="28"/>
          <w:rtl/>
          <w:lang w:bidi="ar"/>
        </w:rPr>
      </w:pPr>
      <w:r>
        <w:rPr>
          <w:rFonts w:cs="Abz-2 (Badr)" w:hint="cs"/>
          <w:color w:val="000000" w:themeColor="text1"/>
          <w:spacing w:val="-2"/>
          <w:sz w:val="28"/>
          <w:szCs w:val="28"/>
          <w:rtl/>
          <w:lang w:bidi="ar"/>
        </w:rPr>
        <w:t xml:space="preserve">وقال فخر المحقّقين في توضيح وجه الإشکال تقدّم في کلام العلامة في القواعد: </w:t>
      </w:r>
      <w:r>
        <w:rPr>
          <w:rFonts w:cs="Abz-2 (Badr)" w:hint="cs"/>
          <w:color w:val="0070C0"/>
          <w:spacing w:val="-2"/>
          <w:sz w:val="28"/>
          <w:szCs w:val="28"/>
          <w:rtl/>
          <w:lang w:bidi="ar"/>
        </w:rPr>
        <w:t xml:space="preserve">«ينشأ من أنّ الغاية من وجوب الكسوة، الستر كالسكنى، وهو يحصل بالإمتاع كالسكنى. ولأصالة براءة الذمة من وجوب التمليك، لقوله تعالى: </w:t>
      </w:r>
      <w:r>
        <w:rPr>
          <w:rFonts w:cs="QuranTaha" w:hint="cs"/>
          <w:color w:val="BF8F00" w:themeColor="accent4" w:themeShade="BF"/>
          <w:spacing w:val="-2"/>
          <w:sz w:val="26"/>
          <w:szCs w:val="26"/>
          <w:rtl/>
          <w:lang w:bidi="ar"/>
        </w:rPr>
        <w:t>«وَكِسْوَتُهُنَّ»</w:t>
      </w:r>
      <w:r>
        <w:rPr>
          <w:rStyle w:val="FootnoteReference"/>
          <w:rFonts w:cs="Abz-2 (Badr)"/>
          <w:color w:val="000000" w:themeColor="text1"/>
          <w:sz w:val="28"/>
          <w:szCs w:val="28"/>
          <w:rtl/>
          <w:lang w:bidi="ar"/>
        </w:rPr>
        <w:footnoteReference w:id="16"/>
      </w:r>
      <w:r>
        <w:rPr>
          <w:rFonts w:cs="Abz-2 (Badr)" w:hint="cs"/>
          <w:color w:val="0070C0"/>
          <w:spacing w:val="-2"/>
          <w:sz w:val="28"/>
          <w:szCs w:val="28"/>
          <w:rtl/>
          <w:lang w:bidi="ar"/>
        </w:rPr>
        <w:t xml:space="preserve"> وهي للمال ويتمّ بالإمتاع، وإيجاب التمليك يستلزم زيادة إضمار من غير ضرورة.</w:t>
      </w:r>
    </w:p>
    <w:p w14:paraId="7EC487C2" w14:textId="77777777" w:rsidR="00BD5487" w:rsidRDefault="00BD5487" w:rsidP="00BD5487">
      <w:pPr>
        <w:widowControl w:val="0"/>
        <w:bidi/>
        <w:spacing w:after="0"/>
        <w:ind w:firstLine="284"/>
        <w:jc w:val="both"/>
        <w:rPr>
          <w:rFonts w:cs="Abz-2 (Badr)" w:hint="cs"/>
          <w:color w:val="0070C0"/>
          <w:spacing w:val="-2"/>
          <w:sz w:val="28"/>
          <w:szCs w:val="28"/>
          <w:rtl/>
          <w:lang w:bidi="ar"/>
        </w:rPr>
      </w:pPr>
      <w:r>
        <w:rPr>
          <w:rFonts w:cs="Abz-2 (Badr)" w:hint="cs"/>
          <w:color w:val="0070C0"/>
          <w:spacing w:val="-2"/>
          <w:sz w:val="28"/>
          <w:szCs w:val="28"/>
          <w:rtl/>
          <w:lang w:bidi="ar"/>
        </w:rPr>
        <w:t>ومن أنّ الإمتاع لها متلف فكانت كالطعام.</w:t>
      </w:r>
    </w:p>
    <w:p w14:paraId="549913B6" w14:textId="77777777" w:rsidR="00BD5487" w:rsidRDefault="00BD5487" w:rsidP="00BD5487">
      <w:pPr>
        <w:widowControl w:val="0"/>
        <w:bidi/>
        <w:spacing w:after="0"/>
        <w:ind w:firstLine="284"/>
        <w:jc w:val="both"/>
        <w:rPr>
          <w:rFonts w:cs="Abz-2 (Badr)" w:hint="cs"/>
          <w:color w:val="0070C0"/>
          <w:spacing w:val="-2"/>
          <w:sz w:val="28"/>
          <w:szCs w:val="28"/>
          <w:rtl/>
          <w:lang w:bidi="ar"/>
        </w:rPr>
      </w:pPr>
      <w:r>
        <w:rPr>
          <w:rFonts w:cs="Abz-2 (Badr)" w:hint="cs"/>
          <w:color w:val="0070C0"/>
          <w:spacing w:val="-2"/>
          <w:sz w:val="28"/>
          <w:szCs w:val="28"/>
          <w:rtl/>
          <w:lang w:bidi="ar"/>
        </w:rPr>
        <w:t xml:space="preserve">واختار إمام المجتهدين والدي المصنّف الثاني وهو التمليك، وهو الأقوى عندي، لقوله تعالى: </w:t>
      </w:r>
      <w:r>
        <w:rPr>
          <w:rFonts w:cs="QuranTaha" w:hint="cs"/>
          <w:color w:val="BF8F00" w:themeColor="accent4" w:themeShade="BF"/>
          <w:spacing w:val="-2"/>
          <w:sz w:val="26"/>
          <w:szCs w:val="26"/>
          <w:rtl/>
          <w:lang w:bidi="ar"/>
        </w:rPr>
        <w:t>«وَعَلَى الْمَوْلُودِ لَهُ‌ رِزْقُهُنَّ وَكِسْوَتُهُنَّ»</w:t>
      </w:r>
      <w:r>
        <w:rPr>
          <w:rFonts w:cs="Abz-2 (Badr)" w:hint="cs"/>
          <w:color w:val="0070C0"/>
          <w:spacing w:val="-2"/>
          <w:sz w:val="28"/>
          <w:szCs w:val="28"/>
          <w:rtl/>
          <w:lang w:bidi="ar"/>
        </w:rPr>
        <w:t xml:space="preserve"> عطفها على الرزق، فيكون الواجب فيهما واحداً، لأن قضيّة العطف التسوية في الحكم المتقدّم، وهو في الرزق التمليك، فكذا في الكسوة.</w:t>
      </w:r>
    </w:p>
    <w:p w14:paraId="0F961F3C" w14:textId="77777777" w:rsidR="00BD5487" w:rsidRDefault="00BD5487" w:rsidP="00BD5487">
      <w:pPr>
        <w:widowControl w:val="0"/>
        <w:bidi/>
        <w:spacing w:after="0"/>
        <w:ind w:firstLine="284"/>
        <w:jc w:val="both"/>
        <w:rPr>
          <w:rFonts w:cs="Abz-2 (Badr)" w:hint="cs"/>
          <w:color w:val="0070C0"/>
          <w:spacing w:val="-2"/>
          <w:sz w:val="28"/>
          <w:szCs w:val="28"/>
          <w:rtl/>
          <w:lang w:bidi="fa-IR"/>
        </w:rPr>
      </w:pPr>
      <w:r>
        <w:rPr>
          <w:rFonts w:cs="Abz-2 (Badr)" w:hint="cs"/>
          <w:color w:val="0070C0"/>
          <w:spacing w:val="-2"/>
          <w:sz w:val="28"/>
          <w:szCs w:val="28"/>
          <w:rtl/>
          <w:lang w:bidi="ar"/>
        </w:rPr>
        <w:t>ولقوله(ع): «ولهنّ عليكم رزقهنّ وكسوتهن بالمعروف»</w:t>
      </w:r>
      <w:r>
        <w:rPr>
          <w:rStyle w:val="FootnoteReference"/>
          <w:rFonts w:cs="Abz-2 (Badr)"/>
          <w:color w:val="000000" w:themeColor="text1"/>
          <w:sz w:val="28"/>
          <w:szCs w:val="28"/>
          <w:rtl/>
          <w:lang w:bidi="ar"/>
        </w:rPr>
        <w:footnoteReference w:id="17"/>
      </w:r>
      <w:r>
        <w:rPr>
          <w:rFonts w:cs="Abz-2 (Badr)" w:hint="cs"/>
          <w:color w:val="0070C0"/>
          <w:spacing w:val="-2"/>
          <w:sz w:val="28"/>
          <w:szCs w:val="28"/>
          <w:rtl/>
          <w:lang w:bidi="ar"/>
        </w:rPr>
        <w:t xml:space="preserve"> واللام للتمليك.»</w:t>
      </w:r>
      <w:r>
        <w:rPr>
          <w:rStyle w:val="FootnoteReference"/>
          <w:rFonts w:cs="Abz-2 (Badr)"/>
          <w:color w:val="000000" w:themeColor="text1"/>
          <w:sz w:val="28"/>
          <w:szCs w:val="28"/>
          <w:rtl/>
          <w:lang w:bidi="ar"/>
        </w:rPr>
        <w:footnoteReference w:id="18"/>
      </w:r>
    </w:p>
    <w:p w14:paraId="0D390CC7" w14:textId="77777777" w:rsidR="00BD5487" w:rsidRDefault="00BD5487" w:rsidP="00BD5487">
      <w:pPr>
        <w:widowControl w:val="0"/>
        <w:bidi/>
        <w:spacing w:after="0"/>
        <w:ind w:firstLine="284"/>
        <w:jc w:val="both"/>
        <w:rPr>
          <w:rFonts w:cs="Abz-2 (Badr)" w:hint="cs"/>
          <w:color w:val="000000" w:themeColor="text1"/>
          <w:spacing w:val="-2"/>
          <w:sz w:val="28"/>
          <w:szCs w:val="28"/>
          <w:rtl/>
        </w:rPr>
      </w:pPr>
      <w:r>
        <w:rPr>
          <w:rFonts w:cs="Abz-2 (Badr)" w:hint="cs"/>
          <w:color w:val="000000" w:themeColor="text1"/>
          <w:spacing w:val="-2"/>
          <w:sz w:val="28"/>
          <w:szCs w:val="28"/>
          <w:rtl/>
        </w:rPr>
        <w:lastRenderedPageBreak/>
        <w:t>وأمّا الشهيد الثاني فبعد أن نقل الاستدلالات المذكورة لکون الکسوة ملکاً للزوجة، أورد عليها إشكالاً وسنقوم بدراسة كلماته في الجلسة القادمة إن شاء الله.</w:t>
      </w:r>
    </w:p>
    <w:bookmarkEnd w:id="1"/>
    <w:p w14:paraId="60ABE8CF"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p>
    <w:p w14:paraId="3E0F4815" w14:textId="77777777" w:rsidR="00BD5487" w:rsidRDefault="00BD5487" w:rsidP="00BD5487">
      <w:pPr>
        <w:widowControl w:val="0"/>
        <w:bidi/>
        <w:spacing w:after="0"/>
        <w:ind w:firstLine="284"/>
        <w:jc w:val="both"/>
        <w:rPr>
          <w:rFonts w:cs="Abz-2 (Badr)" w:hint="cs"/>
          <w:color w:val="000000" w:themeColor="text1"/>
          <w:spacing w:val="-2"/>
          <w:sz w:val="28"/>
          <w:szCs w:val="28"/>
          <w:rtl/>
          <w:lang w:bidi="fa-IR"/>
        </w:rPr>
      </w:pPr>
    </w:p>
    <w:p w14:paraId="6B4D2345" w14:textId="77777777" w:rsidR="00BD5487" w:rsidRDefault="00BD5487" w:rsidP="00BD5487">
      <w:pPr>
        <w:widowControl w:val="0"/>
        <w:bidi/>
        <w:spacing w:after="0" w:line="252" w:lineRule="auto"/>
        <w:ind w:firstLine="284"/>
        <w:jc w:val="both"/>
        <w:rPr>
          <w:rFonts w:cs="Abz-2 (Badr)" w:hint="cs"/>
          <w:color w:val="000000" w:themeColor="text1"/>
          <w:spacing w:val="-2"/>
          <w:sz w:val="28"/>
          <w:szCs w:val="28"/>
          <w:rtl/>
        </w:rPr>
      </w:pPr>
    </w:p>
    <w:p w14:paraId="2AD04477" w14:textId="7D63A4A4" w:rsidR="00B706A3" w:rsidRPr="00BD5487" w:rsidRDefault="00B706A3" w:rsidP="00BD5487">
      <w:pPr>
        <w:rPr>
          <w:rtl/>
        </w:rPr>
      </w:pPr>
    </w:p>
    <w:sectPr w:rsidR="00B706A3" w:rsidRPr="00BD5487"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C73A9" w14:textId="77777777" w:rsidR="00BE266E" w:rsidRDefault="00BE266E" w:rsidP="00F71127">
      <w:pPr>
        <w:spacing w:after="0" w:line="240" w:lineRule="auto"/>
      </w:pPr>
      <w:r>
        <w:separator/>
      </w:r>
    </w:p>
  </w:endnote>
  <w:endnote w:type="continuationSeparator" w:id="0">
    <w:p w14:paraId="4CA941C0" w14:textId="77777777" w:rsidR="00BE266E" w:rsidRDefault="00BE266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17CE" w14:textId="77777777" w:rsidR="00B62A76" w:rsidRDefault="00B62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57F83" w14:textId="77777777" w:rsidR="00B62A76" w:rsidRDefault="00B62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5FF25" w14:textId="77777777" w:rsidR="00BE266E" w:rsidRDefault="00BE266E" w:rsidP="00EE25C0">
      <w:pPr>
        <w:bidi/>
        <w:spacing w:after="0" w:line="240" w:lineRule="auto"/>
      </w:pPr>
      <w:r>
        <w:separator/>
      </w:r>
    </w:p>
  </w:footnote>
  <w:footnote w:type="continuationSeparator" w:id="0">
    <w:p w14:paraId="15F4BBDF" w14:textId="77777777" w:rsidR="00BE266E" w:rsidRDefault="00BE266E" w:rsidP="00F71127">
      <w:pPr>
        <w:bidi/>
        <w:spacing w:after="0" w:line="240" w:lineRule="auto"/>
      </w:pPr>
      <w:r>
        <w:continuationSeparator/>
      </w:r>
    </w:p>
  </w:footnote>
  <w:footnote w:id="1">
    <w:p w14:paraId="094EFF83" w14:textId="77777777" w:rsidR="00BD5487" w:rsidRDefault="00BD5487" w:rsidP="00BD5487">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مغنی</w:t>
      </w:r>
      <w:r>
        <w:rPr>
          <w:rFonts w:cs="Abz-2 (Badr)" w:hint="cs"/>
          <w:rtl/>
          <w:lang w:bidi="fa-IR"/>
        </w:rPr>
        <w:t>،ج8،ص207 و 208.</w:t>
      </w:r>
    </w:p>
  </w:footnote>
  <w:footnote w:id="2">
    <w:p w14:paraId="36ACF85E"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w:t>
      </w:r>
      <w:r>
        <w:rPr>
          <w:rFonts w:cs="Abz-2 (Badr)" w:hint="cs"/>
          <w:rtl/>
          <w:lang w:bidi="fa-IR"/>
        </w:rPr>
        <w:t>،ج7،ص573 ـ جواهر،ج31،ص345.</w:t>
      </w:r>
    </w:p>
  </w:footnote>
  <w:footnote w:id="3">
    <w:p w14:paraId="24C0F555"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w:t>
      </w:r>
      <w:r>
        <w:rPr>
          <w:rFonts w:cs="Abz-2 (Badr)" w:hint="cs"/>
          <w:rtl/>
          <w:lang w:bidi="fa-IR"/>
        </w:rPr>
        <w:t>،ج6،ص50.</w:t>
      </w:r>
    </w:p>
  </w:footnote>
  <w:footnote w:id="4">
    <w:p w14:paraId="199086C9"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w:t>
      </w:r>
      <w:r>
        <w:rPr>
          <w:rFonts w:cs="Abz-2 (Badr)" w:hint="cs"/>
          <w:rtl/>
          <w:lang w:bidi="fa-IR"/>
        </w:rPr>
        <w:t>،ج3،ص107.</w:t>
      </w:r>
    </w:p>
  </w:footnote>
  <w:footnote w:id="5">
    <w:p w14:paraId="588F9CBE"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تحرير</w:t>
      </w:r>
      <w:r>
        <w:rPr>
          <w:rFonts w:cs="Abz-2 (Badr)" w:hint="cs"/>
          <w:rtl/>
          <w:lang w:bidi="fa-IR"/>
        </w:rPr>
        <w:t>،ج4،ص33.</w:t>
      </w:r>
    </w:p>
  </w:footnote>
  <w:footnote w:id="6">
    <w:p w14:paraId="187D090E"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ارشاد</w:t>
      </w:r>
      <w:r>
        <w:rPr>
          <w:rFonts w:cs="Abz-2 (Badr)" w:hint="cs"/>
          <w:rtl/>
          <w:lang w:bidi="fa-IR"/>
        </w:rPr>
        <w:t>،ج2،ص35.</w:t>
      </w:r>
    </w:p>
  </w:footnote>
  <w:footnote w:id="7">
    <w:p w14:paraId="0FD1245F"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بقره(2):233.</w:t>
      </w:r>
    </w:p>
  </w:footnote>
  <w:footnote w:id="8">
    <w:p w14:paraId="656D1286"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مسند أحمد</w:t>
      </w:r>
      <w:r>
        <w:rPr>
          <w:rFonts w:cs="Abz-2 (Badr)" w:hint="cs"/>
          <w:rtl/>
          <w:lang w:bidi="fa-IR"/>
        </w:rPr>
        <w:t>،ج5،ص73.</w:t>
      </w:r>
    </w:p>
  </w:footnote>
  <w:footnote w:id="9">
    <w:p w14:paraId="246C797F"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ايضاح الفوائد</w:t>
      </w:r>
      <w:r>
        <w:rPr>
          <w:rFonts w:cs="Abz-2 (Badr)" w:hint="cs"/>
          <w:rtl/>
          <w:lang w:bidi="fa-IR"/>
        </w:rPr>
        <w:t>،ج3،ص271 و 272.</w:t>
      </w:r>
    </w:p>
  </w:footnote>
  <w:footnote w:id="10">
    <w:p w14:paraId="707DB64E"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المغني</w:t>
      </w:r>
      <w:r>
        <w:rPr>
          <w:rFonts w:cs="Abz-2 (Badr)" w:hint="cs"/>
          <w:rtl/>
          <w:lang w:bidi="fa-IR"/>
        </w:rPr>
        <w:t>،ج8،ص207 و 208.</w:t>
      </w:r>
    </w:p>
  </w:footnote>
  <w:footnote w:id="11">
    <w:p w14:paraId="21C7BEE1"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w:t>
      </w:r>
      <w:r>
        <w:rPr>
          <w:rFonts w:cs="Abz-2 (Badr)" w:hint="cs"/>
          <w:rtl/>
          <w:lang w:bidi="fa-IR"/>
        </w:rPr>
        <w:t>،ج7،ص573 ـ جواهر الکلام،ج31،ص345.</w:t>
      </w:r>
    </w:p>
  </w:footnote>
  <w:footnote w:id="12">
    <w:p w14:paraId="06F290FD"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w:t>
      </w:r>
      <w:r>
        <w:rPr>
          <w:rFonts w:cs="Abz-2 (Badr)" w:hint="cs"/>
          <w:rtl/>
          <w:lang w:bidi="fa-IR"/>
        </w:rPr>
        <w:t>،ج6،ص50.</w:t>
      </w:r>
    </w:p>
  </w:footnote>
  <w:footnote w:id="13">
    <w:p w14:paraId="22B0E5D2"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w:t>
      </w:r>
      <w:r>
        <w:rPr>
          <w:rFonts w:cs="Abz-2 (Badr)" w:hint="cs"/>
          <w:rtl/>
          <w:lang w:bidi="fa-IR"/>
        </w:rPr>
        <w:t>،ج3،ص107.</w:t>
      </w:r>
    </w:p>
  </w:footnote>
  <w:footnote w:id="14">
    <w:p w14:paraId="776D6DB2"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تحرير</w:t>
      </w:r>
      <w:r>
        <w:rPr>
          <w:rFonts w:cs="Abz-2 (Badr)" w:hint="cs"/>
          <w:rtl/>
          <w:lang w:bidi="fa-IR"/>
        </w:rPr>
        <w:t>،ج4،ص33.</w:t>
      </w:r>
    </w:p>
  </w:footnote>
  <w:footnote w:id="15">
    <w:p w14:paraId="3C163FA6"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ارشاد الأذهان</w:t>
      </w:r>
      <w:r>
        <w:rPr>
          <w:rFonts w:cs="Abz-2 (Badr)" w:hint="cs"/>
          <w:rtl/>
          <w:lang w:bidi="fa-IR"/>
        </w:rPr>
        <w:t>،ج2،ص35.</w:t>
      </w:r>
    </w:p>
  </w:footnote>
  <w:footnote w:id="16">
    <w:p w14:paraId="3C94920E"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البقرة(2):233.</w:t>
      </w:r>
    </w:p>
  </w:footnote>
  <w:footnote w:id="17">
    <w:p w14:paraId="2AB3F941"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مسند الإمام أحمد بن حنبل</w:t>
      </w:r>
      <w:r>
        <w:rPr>
          <w:rFonts w:cs="Abz-2 (Badr)" w:hint="cs"/>
          <w:rtl/>
          <w:lang w:bidi="fa-IR"/>
        </w:rPr>
        <w:t>،ج5،ص73.</w:t>
      </w:r>
    </w:p>
  </w:footnote>
  <w:footnote w:id="18">
    <w:p w14:paraId="556E081B" w14:textId="77777777" w:rsidR="00BD5487" w:rsidRDefault="00BD5487" w:rsidP="00BD548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إيضاح الفوائد</w:t>
      </w:r>
      <w:r>
        <w:rPr>
          <w:rFonts w:cs="Abz-2 (Badr)" w:hint="cs"/>
          <w:rtl/>
          <w:lang w:bidi="fa-IR"/>
        </w:rPr>
        <w:t>،ج3،ص271 و 272.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C0DA" w14:textId="77777777" w:rsidR="00B62A76" w:rsidRDefault="00B62A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43AACF2"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684434">
                            <w:rPr>
                              <w:rFonts w:cs="B Mehr" w:hint="cs"/>
                              <w:rtl/>
                              <w:lang w:bidi="fa-IR"/>
                            </w:rPr>
                            <w:t xml:space="preserve"> </w:t>
                          </w:r>
                          <w:r w:rsidR="00BD5487">
                            <w:rPr>
                              <w:rFonts w:cs="B Mehr" w:hint="cs"/>
                              <w:rtl/>
                              <w:lang w:bidi="fa-IR"/>
                            </w:rPr>
                            <w:t>یک</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BD5487">
                            <w:rPr>
                              <w:rFonts w:cs="B Mehr" w:hint="cs"/>
                              <w:rtl/>
                              <w:lang w:bidi="fa-IR"/>
                            </w:rPr>
                            <w:t>07</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43AACF2"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684434">
                      <w:rPr>
                        <w:rFonts w:cs="B Mehr" w:hint="cs"/>
                        <w:rtl/>
                        <w:lang w:bidi="fa-IR"/>
                      </w:rPr>
                      <w:t xml:space="preserve"> </w:t>
                    </w:r>
                    <w:r w:rsidR="00BD5487">
                      <w:rPr>
                        <w:rFonts w:cs="B Mehr" w:hint="cs"/>
                        <w:rtl/>
                        <w:lang w:bidi="fa-IR"/>
                      </w:rPr>
                      <w:t>یک</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BD5487">
                      <w:rPr>
                        <w:rFonts w:cs="B Mehr" w:hint="cs"/>
                        <w:rtl/>
                        <w:lang w:bidi="fa-IR"/>
                      </w:rPr>
                      <w:t>07</w:t>
                    </w:r>
                    <w:r w:rsidR="00860A62">
                      <w:rPr>
                        <w:rFonts w:cs="B Mehr" w:hint="cs"/>
                        <w:rtl/>
                        <w:lang w:bidi="fa-IR"/>
                      </w:rPr>
                      <w:t xml:space="preserve">   دی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BF71" w14:textId="77777777" w:rsidR="00B62A76" w:rsidRDefault="00B62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21735</TotalTime>
  <Pages>1</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707</cp:revision>
  <cp:lastPrinted>2025-04-14T09:12:00Z</cp:lastPrinted>
  <dcterms:created xsi:type="dcterms:W3CDTF">2022-10-16T08:36:00Z</dcterms:created>
  <dcterms:modified xsi:type="dcterms:W3CDTF">2025-12-28T07:37:00Z</dcterms:modified>
</cp:coreProperties>
</file>