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0C069" w14:textId="77777777" w:rsidR="006A4EA6" w:rsidRDefault="006A4EA6" w:rsidP="006A4EA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7F26737" w14:textId="77777777" w:rsidR="006A4EA6" w:rsidRDefault="006A4EA6" w:rsidP="006A4EA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96E9879" w14:textId="77777777" w:rsidR="006A4EA6" w:rsidRDefault="006A4EA6" w:rsidP="006A4EA6">
      <w:pPr>
        <w:widowControl w:val="0"/>
        <w:bidi/>
        <w:spacing w:after="0"/>
        <w:jc w:val="center"/>
        <w:rPr>
          <w:rFonts w:cs="B Mitra" w:hint="cs"/>
          <w:b/>
          <w:bCs/>
          <w:sz w:val="32"/>
          <w:szCs w:val="32"/>
          <w:rtl/>
          <w:lang w:bidi="fa-IR"/>
        </w:rPr>
      </w:pPr>
      <w:r>
        <w:rPr>
          <w:rFonts w:cs="B Mitra" w:hint="cs"/>
          <w:b/>
          <w:bCs/>
          <w:sz w:val="32"/>
          <w:szCs w:val="32"/>
          <w:rtl/>
          <w:lang w:bidi="fa-IR"/>
        </w:rPr>
        <w:t>جلسه 893</w:t>
      </w:r>
    </w:p>
    <w:p w14:paraId="02DC3E97" w14:textId="77777777" w:rsidR="006A4EA6" w:rsidRDefault="006A4EA6" w:rsidP="006A4EA6">
      <w:pPr>
        <w:widowControl w:val="0"/>
        <w:bidi/>
        <w:spacing w:after="0"/>
        <w:ind w:firstLine="284"/>
        <w:jc w:val="both"/>
        <w:rPr>
          <w:rFonts w:cs="Abz-2 (Badr)" w:hint="cs"/>
          <w:color w:val="000000" w:themeColor="text1"/>
          <w:sz w:val="28"/>
          <w:szCs w:val="28"/>
          <w:rtl/>
          <w:lang w:bidi="fa-IR"/>
        </w:rPr>
      </w:pPr>
      <w:bookmarkStart w:id="0" w:name="_Hlk159096966"/>
    </w:p>
    <w:bookmarkEnd w:id="0"/>
    <w:p w14:paraId="5659D828"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گفتيم که نفقه زوجه بر زوج وجوب فعلی دارد هرچند واجب استقبالی است و در نتيجه اگر بعد از دادن نفقه توسط زوج، معلوم شود که در زمان نياز به آن نفقه، زوجيتی وجود نداشته يا زوجه نشوز داشته است، معلوم می</w:t>
      </w:r>
      <w:r>
        <w:rPr>
          <w:rFonts w:cs="Abz-2 (Badr)" w:hint="cs"/>
          <w:color w:val="000000" w:themeColor="text1"/>
          <w:sz w:val="28"/>
          <w:szCs w:val="28"/>
          <w:rtl/>
          <w:lang w:bidi="fa-IR"/>
        </w:rPr>
        <w:softHyphen/>
        <w:t>شود که نفقه آن زمان از اول بر زوج واجب نبوده و در نتيجه زوج حق استرداد آن را دارد.</w:t>
      </w:r>
    </w:p>
    <w:p w14:paraId="4FC6644E"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اما علامه در قواعد فرموده است: </w:t>
      </w:r>
      <w:r>
        <w:rPr>
          <w:rFonts w:cs="Abz-2 (Badr)" w:hint="cs"/>
          <w:color w:val="0070C0"/>
          <w:sz w:val="28"/>
          <w:szCs w:val="28"/>
          <w:rtl/>
          <w:lang w:bidi="fa-IR"/>
        </w:rPr>
        <w:t>«</w:t>
      </w:r>
      <w:r>
        <w:rPr>
          <w:rFonts w:cs="Abz-2 (Badr)" w:hint="cs"/>
          <w:color w:val="0070C0"/>
          <w:sz w:val="28"/>
          <w:szCs w:val="28"/>
          <w:rtl/>
          <w:lang w:bidi="ar"/>
        </w:rPr>
        <w:t>إن ماتت في أثناء النهار لم تستردّ وكذا لو طلّقها. ولو نشزت استردّ على إشكال.»</w:t>
      </w:r>
      <w:r>
        <w:rPr>
          <w:rStyle w:val="FootnoteReference"/>
          <w:rFonts w:cs="Abz-2 (Badr)"/>
          <w:color w:val="000000" w:themeColor="text1"/>
          <w:sz w:val="28"/>
          <w:szCs w:val="28"/>
          <w:rtl/>
          <w:lang w:bidi="ar"/>
        </w:rPr>
        <w:footnoteReference w:id="1"/>
      </w:r>
    </w:p>
    <w:p w14:paraId="0902D2CA" w14:textId="77777777" w:rsidR="006A4EA6" w:rsidRDefault="006A4EA6" w:rsidP="006A4EA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کاشف اللثام در توضيح مدعای علامه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إن ماتت في أثناء النهار والنفقة باقية، لم تستردّ، لأنّها ملكتها بالقبض.</w:t>
      </w:r>
    </w:p>
    <w:p w14:paraId="4C5D49AD" w14:textId="77777777" w:rsidR="006A4EA6" w:rsidRDefault="006A4EA6" w:rsidP="006A4EA6">
      <w:pPr>
        <w:widowControl w:val="0"/>
        <w:bidi/>
        <w:spacing w:after="0" w:line="261" w:lineRule="auto"/>
        <w:ind w:firstLine="284"/>
        <w:jc w:val="both"/>
        <w:rPr>
          <w:rFonts w:cs="Abz-2 (Badr)"/>
          <w:color w:val="0070C0"/>
          <w:sz w:val="28"/>
          <w:szCs w:val="28"/>
          <w:lang w:bidi="ar"/>
        </w:rPr>
      </w:pPr>
      <w:r>
        <w:rPr>
          <w:rFonts w:cs="Abz-2 (Badr)" w:hint="cs"/>
          <w:color w:val="0070C0"/>
          <w:sz w:val="28"/>
          <w:szCs w:val="28"/>
          <w:rtl/>
          <w:lang w:bidi="ar"/>
        </w:rPr>
        <w:t xml:space="preserve">وكذا لو طلّقها. بخلاف ما لو أسلفها نفقة شهر ونحوه فماتت، أو طلّقت قبل الأجل، فإنّها لا تملك إلا نفقة يوم يوم، فتستردّ إلا نفقة يوم الموت أو الطلاق. </w:t>
      </w:r>
    </w:p>
    <w:p w14:paraId="31E057D4" w14:textId="77777777" w:rsidR="006A4EA6" w:rsidRDefault="006A4EA6" w:rsidP="006A4EA6">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ويمكن المناقشة في عدم الاسترداد لا سيّما نفقة الليل إذا حصل الفراق قبله.</w:t>
      </w:r>
    </w:p>
    <w:p w14:paraId="06961BAA" w14:textId="77777777" w:rsidR="006A4EA6" w:rsidRDefault="006A4EA6" w:rsidP="006A4EA6">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ولو نشزت في أثناء اليوم وقد قبضت النفقة، استردّ على إشكال، من تقدّم القبض الموجب للملك قبل النشوز، ومن أنّ‌ الملك مشروط بالتمكين، فبالقبض إنّما ملكته ملكاً مراعىً.</w:t>
      </w:r>
    </w:p>
    <w:p w14:paraId="47AFEC59"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70C0"/>
          <w:sz w:val="28"/>
          <w:szCs w:val="28"/>
          <w:rtl/>
          <w:lang w:bidi="ar"/>
        </w:rPr>
        <w:t>هذا مع بقاء العين، إذ مع الإتلاف لا دليل على وجوب العوض مع إباحة المالك والإذن شرعاً في الإتلاف.»</w:t>
      </w:r>
      <w:r>
        <w:rPr>
          <w:rStyle w:val="FootnoteReference"/>
          <w:rFonts w:cs="Abz-2 (Badr)"/>
          <w:color w:val="000000" w:themeColor="text1"/>
          <w:sz w:val="28"/>
          <w:szCs w:val="28"/>
          <w:rtl/>
          <w:lang w:bidi="ar"/>
        </w:rPr>
        <w:footnoteReference w:id="2"/>
      </w:r>
    </w:p>
    <w:p w14:paraId="430AF6E3"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اما بر اساس آنچه که گفتيم، حکم به عدم استرداد يا اشکال در جواز آن وجهی ندارد، زيرا ملکيت زوجه بر نفقه ـ </w:t>
      </w:r>
      <w:r>
        <w:rPr>
          <w:rFonts w:cs="Abz-2 (Badr)" w:hint="cs"/>
          <w:color w:val="000000" w:themeColor="text1"/>
          <w:sz w:val="28"/>
          <w:szCs w:val="28"/>
          <w:rtl/>
          <w:lang w:bidi="fa-IR"/>
        </w:rPr>
        <w:lastRenderedPageBreak/>
        <w:t>در مواردی که دليل بر ملکيت او وجود دارد ـ مشروط به اين است که در زمان نياز به آن، مقتضی برای ملکيت او موجود بوده و مانع نيز مفقود باشد، بنابر اين در صورتی که زوجيتی در آن زمان وجود نداشته باشد و يا زوجه نشوز کرده باشد، معلوم می</w:t>
      </w:r>
      <w:r>
        <w:rPr>
          <w:rFonts w:cs="Abz-2 (Badr)" w:hint="cs"/>
          <w:color w:val="000000" w:themeColor="text1"/>
          <w:sz w:val="28"/>
          <w:szCs w:val="28"/>
          <w:rtl/>
          <w:lang w:bidi="fa-IR"/>
        </w:rPr>
        <w:softHyphen/>
        <w:t>شود که در حين دريافت نفقه، مالک آن نشده است و وجهی برای اين که زوج نتواند آنچه را به زوجه تحويل داده مسترد کند، وجود ندارد.</w:t>
      </w:r>
    </w:p>
    <w:p w14:paraId="16AE332A"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کاشف اللثام فرموده است مبنی بر اين که در صورت تلف عين، وجهی برای دريافت عوض وجود ندارد نيز مدعای تمامی نيست، زيرا تجويز اتلاف زوجه منوط بر استحقاق وی بر نفقه است و در صورتی که کشف شود که چنين استحقاقی وجود نداشته، تجويزی نيز برای اتلاف وجود نخواهد داشت.</w:t>
      </w:r>
    </w:p>
    <w:p w14:paraId="33ED9DC9" w14:textId="77777777" w:rsidR="006A4EA6" w:rsidRDefault="006A4EA6" w:rsidP="006A4EA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به عبارت ديگر: آنچه که از ادله برداشت می</w:t>
      </w:r>
      <w:r>
        <w:rPr>
          <w:rFonts w:cs="Abz-2 (Badr)" w:hint="cs"/>
          <w:color w:val="000000" w:themeColor="text1"/>
          <w:sz w:val="28"/>
          <w:szCs w:val="28"/>
          <w:rtl/>
          <w:lang w:bidi="fa-IR"/>
        </w:rPr>
        <w:softHyphen/>
        <w:t>شود، جواز اتلاف نفقه توسط زوجه است، نه جواز اتلاف هر مالی که زوج به او تحويل داده باشد ولو صدق نفقه بر آن نکند.</w:t>
      </w:r>
    </w:p>
    <w:p w14:paraId="3DCB0575" w14:textId="77777777" w:rsidR="006A4EA6" w:rsidRDefault="006A4EA6" w:rsidP="006A4EA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البته اگر زوجه به جهت ناآگاهی از عدم وجود مقتضی يا عروض مانع برای استحقاق نفقه در زمانی که به آن نياز دارد، آن را پيش از فرا رسيدن زمانی که به آن اختصاص دارد مصرف کرده باشد، مرتکب حرام نشده است؛ زيرا از آن جهت که گمان می‌کرده در ملک خود تصرّف می‌کند، ظاهراً مجاز در اين تصرف بوده است. امّا اين مطلب منافاتی با ضامن بودن او پس از روشن شدن واقع امر ندارد، چرا که ضمان گاهی با وجود جواز عمل در واقع نيز ثابت می‌شود چه رسد به جواز ظاهری آن.</w:t>
      </w:r>
    </w:p>
    <w:p w14:paraId="309D2063" w14:textId="77777777" w:rsidR="006A4EA6" w:rsidRDefault="006A4EA6" w:rsidP="006A4EA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مبنای ما در مسأله با مبنای اصحاب فرقی اساسی از حيث آثار دارد و آن اين است که بر اساس مدعای اصحاب، فعليت وجوب نفقه</w:t>
      </w:r>
      <w:r>
        <w:rPr>
          <w:rFonts w:cs="Abz-2 (Badr)" w:hint="cs"/>
          <w:color w:val="000000" w:themeColor="text1"/>
          <w:sz w:val="28"/>
          <w:szCs w:val="28"/>
          <w:rtl/>
          <w:lang w:bidi="fa-IR"/>
        </w:rPr>
        <w:softHyphen/>
        <w:t xml:space="preserve">ی هر روز، منوط بر اين است که صبح آن روز فرا برسد و قبل از آن، نفقه بر زوج واجب نيست و در نتيجه اگر تهيه نفقه زوجه در روز بعد منوط بر اين باشد که زوج در روز قبل مقدمات آن را فراهم سازد، وجهی برای وجوب فراهم سازی مقدمات مذکور بر زوج وجود نخواهد داشت، </w:t>
      </w:r>
      <w:r>
        <w:rPr>
          <w:rFonts w:cs="Abz-2 (Badr)" w:hint="cs"/>
          <w:color w:val="000000" w:themeColor="text1"/>
          <w:sz w:val="28"/>
          <w:szCs w:val="28"/>
          <w:rtl/>
        </w:rPr>
        <w:t>همان‌گونه که فراهم کردن مقدّمات حج پيش از حصول استطاعت واجب نيست، هرچند مکلّف بداند که در آينده در زمانی به استطاعت خواهد رسيد که در آن هنگام امکان تهيّه مقدّمات حج ديگر وجود ندارد.</w:t>
      </w:r>
    </w:p>
    <w:p w14:paraId="16F0495D" w14:textId="77777777" w:rsidR="006A4EA6" w:rsidRDefault="006A4EA6" w:rsidP="006A4EA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امّا بر اساس آنچه از ما گذشت، از آن‌جا که وجوب نفقه‌ی زوجه به محض تحقّق زوجيّت تا پايان مدّت آن فعلی می‌شود، فراهم ساختن مقدّماتی که تأمين نفقه‌ی زوجه بر آن‌ها متوقّف است بر زوج لازم خواهد بود، هرچند مستلزم آن باشد که مدّت‌ها پيش از زمانی که زوجه به نفقه نياز دارد، اقدام به تهيّه‌ی آن‌ها کند</w:t>
      </w:r>
      <w:r>
        <w:rPr>
          <w:rFonts w:cs="Abz-2 (Badr)" w:hint="cs"/>
          <w:color w:val="000000" w:themeColor="text1"/>
          <w:sz w:val="28"/>
          <w:szCs w:val="28"/>
          <w:rtl/>
          <w:lang w:bidi="fa-IR"/>
        </w:rPr>
        <w:t>.</w:t>
      </w:r>
    </w:p>
    <w:p w14:paraId="1B3B2EA2" w14:textId="77777777" w:rsidR="006A4EA6" w:rsidRDefault="006A4EA6" w:rsidP="006A4EA6">
      <w:pPr>
        <w:rPr>
          <w:rFonts w:cs="Abz-2 (Badr)" w:hint="cs"/>
          <w:color w:val="000000" w:themeColor="text1"/>
          <w:spacing w:val="-2"/>
          <w:sz w:val="28"/>
          <w:szCs w:val="28"/>
          <w:rtl/>
          <w:lang w:bidi="fa-IR"/>
        </w:rPr>
      </w:pPr>
      <w:r>
        <w:rPr>
          <w:rFonts w:cs="Abz-2 (Badr)" w:hint="cs"/>
          <w:color w:val="000000" w:themeColor="text1"/>
          <w:spacing w:val="-2"/>
          <w:sz w:val="28"/>
          <w:szCs w:val="28"/>
          <w:rtl/>
          <w:lang w:bidi="fa-IR"/>
        </w:rPr>
        <w:br w:type="page"/>
      </w:r>
    </w:p>
    <w:p w14:paraId="4878B905" w14:textId="77777777" w:rsidR="006A4EA6" w:rsidRDefault="006A4EA6" w:rsidP="006A4EA6">
      <w:pPr>
        <w:widowControl w:val="0"/>
        <w:bidi/>
        <w:spacing w:after="0" w:line="261"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قلنا: إنّ نفقة الزوجة واجبة على الزوج وجوباً فعليّاً وإن كان الواجب استقباليّاً. وبناءً عليه فلو تبيّن بعد دفع النفقة من قبل الزوج أنّه في زمان الحاجة إليها لم تكن هناك زوجيّة، أو أنّ الزوجة كانت ناشزاً، تبيّن أنّ نفقة ذلك الزمان لم تكن واجبة على الزوج من الأوّل، وبالتالي يكون للزوج حقّ استردادها.</w:t>
      </w:r>
    </w:p>
    <w:p w14:paraId="5A5EC92F" w14:textId="77777777" w:rsidR="006A4EA6" w:rsidRDefault="006A4EA6" w:rsidP="006A4EA6">
      <w:pPr>
        <w:widowControl w:val="0"/>
        <w:bidi/>
        <w:spacing w:after="0" w:line="261" w:lineRule="auto"/>
        <w:ind w:firstLine="284"/>
        <w:jc w:val="both"/>
        <w:rPr>
          <w:rFonts w:cs="Abz-2 (Badr)"/>
          <w:color w:val="000000" w:themeColor="text1"/>
          <w:sz w:val="28"/>
          <w:szCs w:val="28"/>
          <w:lang w:bidi="fa-IR"/>
        </w:rPr>
      </w:pPr>
      <w:r>
        <w:rPr>
          <w:rFonts w:cs="Abz-2 (Badr)" w:hint="cs"/>
          <w:color w:val="000000" w:themeColor="text1"/>
          <w:sz w:val="28"/>
          <w:szCs w:val="28"/>
          <w:rtl/>
        </w:rPr>
        <w:t>إلا أنّ العلامة قال في القواعد</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إن ماتت في أثناء النهار لم تستردّ وكذا لو طلّقها. ولو نشزت استردّ على إشكال.»</w:t>
      </w:r>
      <w:r>
        <w:rPr>
          <w:rStyle w:val="FootnoteReference"/>
          <w:rFonts w:cs="Abz-2 (Badr)"/>
          <w:color w:val="000000" w:themeColor="text1"/>
          <w:sz w:val="28"/>
          <w:szCs w:val="28"/>
          <w:rtl/>
          <w:lang w:bidi="ar"/>
        </w:rPr>
        <w:footnoteReference w:id="3"/>
      </w:r>
    </w:p>
    <w:p w14:paraId="0158FE26" w14:textId="77777777" w:rsidR="006A4EA6" w:rsidRDefault="006A4EA6" w:rsidP="006A4EA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وقال کاشف اللثام في توضيح مدّعی العلامة: </w:t>
      </w:r>
      <w:r>
        <w:rPr>
          <w:rFonts w:cs="Abz-2 (Badr)" w:hint="cs"/>
          <w:color w:val="0070C0"/>
          <w:sz w:val="28"/>
          <w:szCs w:val="28"/>
          <w:rtl/>
          <w:lang w:bidi="fa-IR"/>
        </w:rPr>
        <w:t>«</w:t>
      </w:r>
      <w:r>
        <w:rPr>
          <w:rFonts w:cs="Abz-2 (Badr)" w:hint="cs"/>
          <w:color w:val="0070C0"/>
          <w:sz w:val="28"/>
          <w:szCs w:val="28"/>
          <w:rtl/>
          <w:lang w:bidi="ar"/>
        </w:rPr>
        <w:t>إن ماتت في أثناء النهار والنفقة باقية، لم تستردّ، لأنّها ملكتها بالقبض.</w:t>
      </w:r>
    </w:p>
    <w:p w14:paraId="4E1AA4C3" w14:textId="77777777" w:rsidR="006A4EA6" w:rsidRDefault="006A4EA6" w:rsidP="006A4EA6">
      <w:pPr>
        <w:widowControl w:val="0"/>
        <w:bidi/>
        <w:spacing w:after="0" w:line="261" w:lineRule="auto"/>
        <w:ind w:firstLine="284"/>
        <w:jc w:val="both"/>
        <w:rPr>
          <w:rFonts w:cs="Abz-2 (Badr)"/>
          <w:color w:val="0070C0"/>
          <w:sz w:val="28"/>
          <w:szCs w:val="28"/>
          <w:lang w:bidi="ar"/>
        </w:rPr>
      </w:pPr>
      <w:r>
        <w:rPr>
          <w:rFonts w:cs="Abz-2 (Badr)" w:hint="cs"/>
          <w:color w:val="0070C0"/>
          <w:sz w:val="28"/>
          <w:szCs w:val="28"/>
          <w:rtl/>
          <w:lang w:bidi="ar"/>
        </w:rPr>
        <w:t xml:space="preserve">وكذا لو طلّقها. بخلاف ما لو أسلفها نفقة شهر ونحوه فماتت، أو طلّقت قبل الأجل، فإنّها لا تملك إلا نفقة يوم يوم، فتستردّ إلا نفقة يوم الموت أو الطلاق. </w:t>
      </w:r>
    </w:p>
    <w:p w14:paraId="6F2FA614" w14:textId="77777777" w:rsidR="006A4EA6" w:rsidRDefault="006A4EA6" w:rsidP="006A4EA6">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ويمكن المناقشة في عدم الاسترداد لا سيّما نفقة الليل إذا حصل الفراق قبله.</w:t>
      </w:r>
    </w:p>
    <w:p w14:paraId="12033F62" w14:textId="77777777" w:rsidR="006A4EA6" w:rsidRDefault="006A4EA6" w:rsidP="006A4EA6">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ولو نشزت في أثناء اليوم وقد قبضت النفقة، استردّ على إشكال، من تقدّم القبض الموجب للملك قبل النشوز، ومن أنّ‌ الملك مشروط بالتمكين، فبالقبض إنّما ملكته ملكاً مراعىً.</w:t>
      </w:r>
    </w:p>
    <w:p w14:paraId="21A35EA8" w14:textId="77777777" w:rsidR="006A4EA6" w:rsidRDefault="006A4EA6" w:rsidP="006A4EA6">
      <w:pPr>
        <w:widowControl w:val="0"/>
        <w:bidi/>
        <w:spacing w:after="0" w:line="261" w:lineRule="auto"/>
        <w:ind w:firstLine="284"/>
        <w:jc w:val="both"/>
        <w:rPr>
          <w:rFonts w:cs="Abz-2 (Badr)" w:hint="cs"/>
          <w:color w:val="000000" w:themeColor="text1"/>
          <w:sz w:val="28"/>
          <w:szCs w:val="28"/>
          <w:rtl/>
          <w:lang w:bidi="fa-IR"/>
        </w:rPr>
      </w:pPr>
      <w:r>
        <w:rPr>
          <w:rFonts w:cs="Abz-2 (Badr)" w:hint="cs"/>
          <w:color w:val="0070C0"/>
          <w:sz w:val="28"/>
          <w:szCs w:val="28"/>
          <w:rtl/>
          <w:lang w:bidi="ar"/>
        </w:rPr>
        <w:t>هذا مع بقاء العين، إذ مع الإتلاف لا دليل على وجوب العوض مع إباحة المالك والإذن شرعاً في الإتلاف.»</w:t>
      </w:r>
      <w:r>
        <w:rPr>
          <w:rStyle w:val="FootnoteReference"/>
          <w:rFonts w:cs="Abz-2 (Badr)"/>
          <w:color w:val="000000" w:themeColor="text1"/>
          <w:sz w:val="28"/>
          <w:szCs w:val="28"/>
          <w:rtl/>
          <w:lang w:bidi="ar"/>
        </w:rPr>
        <w:footnoteReference w:id="4"/>
      </w:r>
    </w:p>
    <w:p w14:paraId="13731486" w14:textId="77777777" w:rsidR="006A4EA6" w:rsidRDefault="006A4EA6" w:rsidP="006A4EA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ولكن بناءً على ما ذكرناه، لا وجه للحكم بعدم الاسترداد ولا للإشكال في جوازه، لأنّ ملكيّة الزوجة للنفقة ـ في الموارد التي قام الدليل على ملكيّتها لها ـ مشروطة بوجود المقتضي لملكها في زمان الحاجة إليها وعدم المانع. فبناءً عليه إذا لم تكن هناك زوجيّة في ذلك الزمان أو كانت الزوجة ناشزاً، تبيّن أنّها لم تملك النفقة حين قبضتها، ولا وجه حينئذٍ لعدم تمكّن الزوج من استرداد ما سلّمه إليها.</w:t>
      </w:r>
    </w:p>
    <w:p w14:paraId="40E702B7" w14:textId="77777777" w:rsidR="006A4EA6" w:rsidRDefault="006A4EA6" w:rsidP="006A4EA6">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وأمّا ما ذكره كاشف اللثام من أنّه في صورة تلف العين لا وجه للمطالبة بالعوض، فليس تامّاً أيضاً، لأنّ تجويز إتلاف الزوجة للنفقة منوط باستحقاقها لها، فإذا انكشف عدم ثبوت هذا الاستحقاق، کشف عن أنّه لم يكن هناك تجويز للإتلاف واقعاً.</w:t>
      </w:r>
    </w:p>
    <w:p w14:paraId="795FFC7F" w14:textId="77777777" w:rsidR="006A4EA6" w:rsidRDefault="006A4EA6" w:rsidP="006A4EA6">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وبعبارة أُخرى: إنّ المستفاد من الأدلّة هو جواز إتلاف «النفقة» من قبل الزوجة، لا جواز إتلاف كلّ مال سلّمه الزوج إليها ولو لم يصدق عليه عنوان النفقة.</w:t>
      </w:r>
    </w:p>
    <w:p w14:paraId="7266820E" w14:textId="77777777" w:rsidR="006A4EA6" w:rsidRDefault="006A4EA6" w:rsidP="006A4EA6">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نعم، إذا كانت الزوجةُ لجهلها بعدم وجود المقتضي أو عروض المانع لاستحقاق النفقة في الوقت الذي تحتاج فيه إليها، قد استهلكتها قبل حلول الوقت المخصّص لها، فلا تكون مرتكبة للحرام، لأنّها من حيث تصوّرها أنّها تتصرّف في ملكها، كانت ظاهراً مجازة في هذا التصرّف. غير أنّ ذلك لا ينافي كونها ضامنة بعد انکشاف الواقع، إذ قد يثبت الضمان مع جواز العمل في الواقع أيضاً فضلاً عن جوازه ظاهراً.</w:t>
      </w:r>
    </w:p>
    <w:p w14:paraId="61983EE8" w14:textId="77777777" w:rsidR="006A4EA6" w:rsidRDefault="006A4EA6" w:rsidP="006A4EA6">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ثمّ إنّ مبنانا في المسألة يختلف اختلافاً جوهريّاً عن مبنى الأصحاب من حيث الآثار، وذلك أنّه على مبنى الأصحاب تكون فعليّة وجوب نفقة كلّ يوم منوطة بطلوع صباح ذلك اليوم، وقبل ذلك لا تكون النفقة واجبة على الزوج. وبناءً عليه، فإذا كان إعداد نفقة الزوجة لليوم الآتي متوقّفاً على أن يهيّئ الزوج مقدّماتها في اليوم السابق، فلا وجه لوجوب تهيئة تلك المقدّمات عليه، کما لا يجب تهيئة مقدّمات الحجّ قبل حصول الاستطاعة وإن علم المکلّف بحصولها فيما بعد في زمان لا يمکن تحصيل مقدّماته حينئذٍ.</w:t>
      </w:r>
    </w:p>
    <w:p w14:paraId="28B232CF" w14:textId="77777777" w:rsidR="006A4EA6" w:rsidRDefault="006A4EA6" w:rsidP="006A4EA6">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وأمّا على ما تقدّم منّا، فحيث يصير وجوب نفقة الزوجة فعليّاً بمجرّد تحقّق الزوجيّة إلى انتهاء مدّتها، فإنّ إعداد المقدّمات التي يتوقّف عليها تأمين نفقة الزوجة يكون لازماً على الزوج، ولو استلزم ذلك أن يقدم علی تهيئتها</w:t>
      </w:r>
      <w:r>
        <w:rPr>
          <w:rFonts w:cs="Abz-2 (Badr)" w:hint="cs"/>
          <w:color w:val="000000" w:themeColor="text1"/>
          <w:sz w:val="28"/>
          <w:szCs w:val="28"/>
          <w:rtl/>
          <w:lang w:bidi="fa-IR"/>
        </w:rPr>
        <w:t xml:space="preserve"> </w:t>
      </w:r>
      <w:r>
        <w:rPr>
          <w:rFonts w:cs="Abz-2 (Badr)" w:hint="cs"/>
          <w:color w:val="000000" w:themeColor="text1"/>
          <w:sz w:val="28"/>
          <w:szCs w:val="28"/>
          <w:rtl/>
        </w:rPr>
        <w:t>قبل زمان احتياجها إليها بمدّة طويلة.</w:t>
      </w:r>
    </w:p>
    <w:p w14:paraId="5753F196" w14:textId="77777777" w:rsidR="006A4EA6" w:rsidRDefault="006A4EA6" w:rsidP="006A4EA6">
      <w:pPr>
        <w:widowControl w:val="0"/>
        <w:bidi/>
        <w:spacing w:after="0" w:line="252" w:lineRule="auto"/>
        <w:ind w:firstLine="284"/>
        <w:jc w:val="both"/>
        <w:rPr>
          <w:rFonts w:cs="Abz-2 (Badr)"/>
          <w:color w:val="000000" w:themeColor="text1"/>
          <w:sz w:val="28"/>
          <w:szCs w:val="28"/>
        </w:rPr>
      </w:pPr>
    </w:p>
    <w:p w14:paraId="4A67DEC9" w14:textId="77777777" w:rsidR="006A4EA6" w:rsidRDefault="006A4EA6" w:rsidP="006A4EA6">
      <w:pPr>
        <w:widowControl w:val="0"/>
        <w:bidi/>
        <w:spacing w:after="0" w:line="252" w:lineRule="auto"/>
        <w:ind w:firstLine="284"/>
        <w:jc w:val="both"/>
        <w:rPr>
          <w:rFonts w:cs="Abz-2 (Badr)" w:hint="cs"/>
          <w:color w:val="000000" w:themeColor="text1"/>
          <w:spacing w:val="-2"/>
          <w:sz w:val="28"/>
          <w:szCs w:val="28"/>
          <w:rtl/>
          <w:lang w:bidi="fa-IR"/>
        </w:rPr>
      </w:pPr>
    </w:p>
    <w:p w14:paraId="2AD04477" w14:textId="7D63A4A4" w:rsidR="00B706A3" w:rsidRPr="006A4EA6" w:rsidRDefault="00B706A3" w:rsidP="006A4EA6">
      <w:pPr>
        <w:rPr>
          <w:rtl/>
        </w:rPr>
      </w:pPr>
    </w:p>
    <w:sectPr w:rsidR="00B706A3" w:rsidRPr="006A4EA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FE702" w14:textId="77777777" w:rsidR="008C2D63" w:rsidRDefault="008C2D63" w:rsidP="00F71127">
      <w:pPr>
        <w:spacing w:after="0" w:line="240" w:lineRule="auto"/>
      </w:pPr>
      <w:r>
        <w:separator/>
      </w:r>
    </w:p>
  </w:endnote>
  <w:endnote w:type="continuationSeparator" w:id="0">
    <w:p w14:paraId="388A6449" w14:textId="77777777" w:rsidR="008C2D63" w:rsidRDefault="008C2D6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17CE" w14:textId="77777777" w:rsidR="00B62A76" w:rsidRDefault="00B62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57F83" w14:textId="77777777" w:rsidR="00B62A76" w:rsidRDefault="00B62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824D9" w14:textId="77777777" w:rsidR="008C2D63" w:rsidRDefault="008C2D63" w:rsidP="00EE25C0">
      <w:pPr>
        <w:bidi/>
        <w:spacing w:after="0" w:line="240" w:lineRule="auto"/>
      </w:pPr>
      <w:r>
        <w:separator/>
      </w:r>
    </w:p>
  </w:footnote>
  <w:footnote w:type="continuationSeparator" w:id="0">
    <w:p w14:paraId="0D742353" w14:textId="77777777" w:rsidR="008C2D63" w:rsidRDefault="008C2D63" w:rsidP="00F71127">
      <w:pPr>
        <w:bidi/>
        <w:spacing w:after="0" w:line="240" w:lineRule="auto"/>
      </w:pPr>
      <w:r>
        <w:continuationSeparator/>
      </w:r>
    </w:p>
  </w:footnote>
  <w:footnote w:id="1">
    <w:p w14:paraId="0DDA8FF4" w14:textId="77777777" w:rsidR="006A4EA6" w:rsidRDefault="006A4EA6" w:rsidP="006A4EA6">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قواعد</w:t>
      </w:r>
      <w:r>
        <w:rPr>
          <w:rFonts w:cs="Abz-2 (Badr)" w:hint="cs"/>
          <w:rtl/>
          <w:lang w:bidi="fa-IR"/>
        </w:rPr>
        <w:t>،ج3،ص106.</w:t>
      </w:r>
    </w:p>
  </w:footnote>
  <w:footnote w:id="2">
    <w:p w14:paraId="14D12955" w14:textId="77777777" w:rsidR="006A4EA6" w:rsidRDefault="006A4EA6" w:rsidP="006A4EA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w:t>
      </w:r>
      <w:r>
        <w:rPr>
          <w:rFonts w:cs="Abz-2 (Badr)" w:hint="cs"/>
          <w:rtl/>
          <w:lang w:bidi="fa-IR"/>
        </w:rPr>
        <w:t>،ج7،ص569.</w:t>
      </w:r>
    </w:p>
  </w:footnote>
  <w:footnote w:id="3">
    <w:p w14:paraId="372B635E" w14:textId="77777777" w:rsidR="006A4EA6" w:rsidRDefault="006A4EA6" w:rsidP="006A4EA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w:t>
      </w:r>
      <w:r>
        <w:rPr>
          <w:rFonts w:cs="Abz-2 (Badr)" w:hint="cs"/>
          <w:rtl/>
          <w:lang w:bidi="fa-IR"/>
        </w:rPr>
        <w:t>،ج3،ص106.</w:t>
      </w:r>
    </w:p>
  </w:footnote>
  <w:footnote w:id="4">
    <w:p w14:paraId="168FDD8D" w14:textId="77777777" w:rsidR="006A4EA6" w:rsidRDefault="006A4EA6" w:rsidP="006A4EA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w:t>
      </w:r>
      <w:r>
        <w:rPr>
          <w:rFonts w:cs="Abz-2 (Badr)" w:hint="cs"/>
          <w:rtl/>
          <w:lang w:bidi="fa-IR"/>
        </w:rPr>
        <w:t>،ج7،ص569.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C0DA" w14:textId="77777777" w:rsidR="00B62A76" w:rsidRDefault="00B62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690996F"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A4EA6">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6A4EA6">
                            <w:rPr>
                              <w:rFonts w:cs="B Mehr" w:hint="cs"/>
                              <w:rtl/>
                              <w:lang w:bidi="fa-IR"/>
                            </w:rPr>
                            <w:t>02</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690996F"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A4EA6">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6A4EA6">
                      <w:rPr>
                        <w:rFonts w:cs="B Mehr" w:hint="cs"/>
                        <w:rtl/>
                        <w:lang w:bidi="fa-IR"/>
                      </w:rPr>
                      <w:t>02</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BF71" w14:textId="77777777" w:rsidR="00B62A76" w:rsidRDefault="00B62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21735</TotalTime>
  <Pages>1</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703</cp:revision>
  <cp:lastPrinted>2025-04-14T09:12:00Z</cp:lastPrinted>
  <dcterms:created xsi:type="dcterms:W3CDTF">2022-10-16T08:36:00Z</dcterms:created>
  <dcterms:modified xsi:type="dcterms:W3CDTF">2025-12-24T08:48:00Z</dcterms:modified>
</cp:coreProperties>
</file>