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4960" w14:textId="77777777" w:rsidR="00EE7FCD" w:rsidRDefault="00EE7FCD" w:rsidP="00EE7FC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EC9D60" w14:textId="77777777" w:rsidR="00EE7FCD" w:rsidRDefault="00EE7FCD" w:rsidP="00EE7FC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25E39DF" w14:textId="77777777" w:rsidR="00EE7FCD" w:rsidRDefault="00EE7FCD" w:rsidP="00EE7FCD">
      <w:pPr>
        <w:widowControl w:val="0"/>
        <w:bidi/>
        <w:spacing w:after="0"/>
        <w:jc w:val="center"/>
        <w:rPr>
          <w:rFonts w:cs="B Mitra" w:hint="cs"/>
          <w:b/>
          <w:bCs/>
          <w:sz w:val="32"/>
          <w:szCs w:val="32"/>
          <w:rtl/>
          <w:lang w:bidi="fa-IR"/>
        </w:rPr>
      </w:pPr>
      <w:r>
        <w:rPr>
          <w:rFonts w:cs="B Mitra" w:hint="cs"/>
          <w:b/>
          <w:bCs/>
          <w:sz w:val="32"/>
          <w:szCs w:val="32"/>
          <w:rtl/>
          <w:lang w:bidi="fa-IR"/>
        </w:rPr>
        <w:t>جلسه 883</w:t>
      </w:r>
    </w:p>
    <w:p w14:paraId="23DF2396" w14:textId="77777777" w:rsidR="00EE7FCD" w:rsidRDefault="00EE7FCD" w:rsidP="00EE7FCD">
      <w:pPr>
        <w:widowControl w:val="0"/>
        <w:bidi/>
        <w:spacing w:after="0"/>
        <w:ind w:firstLine="284"/>
        <w:jc w:val="both"/>
        <w:rPr>
          <w:rFonts w:cs="Abz-2 (Badr)" w:hint="cs"/>
          <w:color w:val="000000" w:themeColor="text1"/>
          <w:sz w:val="28"/>
          <w:szCs w:val="28"/>
          <w:rtl/>
          <w:lang w:bidi="fa-IR"/>
        </w:rPr>
      </w:pPr>
      <w:bookmarkStart w:id="0" w:name="_Hlk159096966"/>
    </w:p>
    <w:bookmarkEnd w:id="0"/>
    <w:p w14:paraId="426509D5"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بقيه نکاتی که در خصوص فرمايشات شيخ در مبسوط وجود دارد، به قرار ذيل است:</w:t>
      </w:r>
    </w:p>
    <w:p w14:paraId="39371023" w14:textId="77777777" w:rsidR="00EE7FCD" w:rsidRDefault="00EE7FCD" w:rsidP="00EE7FCD">
      <w:pPr>
        <w:widowControl w:val="0"/>
        <w:bidi/>
        <w:spacing w:after="0"/>
        <w:ind w:firstLine="284"/>
        <w:jc w:val="both"/>
        <w:rPr>
          <w:rFonts w:cs="Abz-2 (Badr)" w:hint="cs"/>
          <w:color w:val="000000" w:themeColor="text1"/>
          <w:sz w:val="28"/>
          <w:szCs w:val="28"/>
          <w:rtl/>
          <w:lang w:bidi="fa-IR"/>
        </w:rPr>
      </w:pPr>
      <w:bookmarkStart w:id="1" w:name="_Hlk216172656"/>
      <w:r>
        <w:rPr>
          <w:rFonts w:cs="Abz-2 (Badr)" w:hint="cs"/>
          <w:color w:val="000000" w:themeColor="text1"/>
          <w:sz w:val="28"/>
          <w:szCs w:val="28"/>
          <w:rtl/>
          <w:lang w:bidi="fa-IR"/>
        </w:rPr>
        <w:t>2 ـ اين نکته که ممکن است کسی در حال صحت شأنيت خدمتکار داشتن را نداشته باشد اما در حال مرض چنين شأنيتی پيدا کند نيز، مدعای صحيحی است و بازگشت آن به همان ملاک عرفی است، به اين معنا که عرف در حکم به اين مطلب، بين احوالات مختلف اشخاص فرق می</w:t>
      </w:r>
      <w:r>
        <w:rPr>
          <w:rFonts w:cs="Abz-2 (Badr)" w:hint="cs"/>
          <w:color w:val="000000" w:themeColor="text1"/>
          <w:sz w:val="28"/>
          <w:szCs w:val="28"/>
          <w:rtl/>
          <w:lang w:bidi="fa-IR"/>
        </w:rPr>
        <w:softHyphen/>
        <w:t>گذارد.</w:t>
      </w:r>
    </w:p>
    <w:p w14:paraId="1072EDCD"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عجيب اين است که شيخ با اين که در اينجا قائل به وجوب تأمين خادم برای زوجه در حال مريضی وی شده است، درمان زوجه را بر زوج لازم ندانسته است</w:t>
      </w:r>
      <w:r>
        <w:rPr>
          <w:vertAlign w:val="superscript"/>
          <w:rtl/>
        </w:rPr>
        <w:footnoteReference w:id="1"/>
      </w:r>
      <w:r>
        <w:rPr>
          <w:rFonts w:cs="Abz-2 (Badr)" w:hint="cs"/>
          <w:color w:val="000000" w:themeColor="text1"/>
          <w:sz w:val="28"/>
          <w:szCs w:val="28"/>
          <w:rtl/>
          <w:lang w:bidi="fa-IR"/>
        </w:rPr>
        <w:t>، با اين که ملاک در هر دو مورد واحد است و وجهی برای تفصيل بين آنها و واجب دانستن تأمين خادم و حکم به عدم وجوب تأمين دارو، وجود ندارد.</w:t>
      </w:r>
    </w:p>
    <w:p w14:paraId="24199835"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3 ـ تعداد خادمی که زوجه به آنها نياز دارد، بر اساس نياز وی تعيين می</w:t>
      </w:r>
      <w:r>
        <w:rPr>
          <w:rFonts w:cs="Abz-2 (Badr)" w:hint="cs"/>
          <w:color w:val="000000" w:themeColor="text1"/>
          <w:sz w:val="28"/>
          <w:szCs w:val="28"/>
          <w:rtl/>
          <w:lang w:bidi="fa-IR"/>
        </w:rPr>
        <w:softHyphen/>
        <w:t>گردد.</w:t>
      </w:r>
    </w:p>
    <w:p w14:paraId="04F0EEB7"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اين سؤال در اينجا مطرح می</w:t>
      </w:r>
      <w:r>
        <w:rPr>
          <w:rFonts w:cs="Abz-2 (Badr)" w:hint="cs"/>
          <w:color w:val="000000" w:themeColor="text1"/>
          <w:sz w:val="28"/>
          <w:szCs w:val="28"/>
          <w:rtl/>
          <w:lang w:bidi="fa-IR"/>
        </w:rPr>
        <w:softHyphen/>
        <w:t>شود که چنانچه بر اساس عرف رايج در برخی از جوامع، برخی از اشخاص لازم باشد که خدام متعددی داشته باشند ولو اين که کارهای آنان با تعداد کمتری نيز انجام بپيذيرد، آيا بايد اين عرف در نفقه تبعيت شود يا اين که زوج فقط به مقداری که انجام کارهای زوجه با آن صورت بپذيرد لازم است که خادم در اختيار وی قرار دهد؟</w:t>
      </w:r>
    </w:p>
    <w:p w14:paraId="2A02A492"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شيخ می</w:t>
      </w:r>
      <w:r>
        <w:rPr>
          <w:rFonts w:cs="Abz-2 (Badr)" w:hint="cs"/>
          <w:color w:val="000000" w:themeColor="text1"/>
          <w:sz w:val="28"/>
          <w:szCs w:val="28"/>
          <w:rtl/>
          <w:lang w:bidi="fa-IR"/>
        </w:rPr>
        <w:softHyphen/>
        <w:t>فرمايد که ملاک اين است که کارهای زوجه انجام پذيرد و بيش از آن بر زوج واجب نيست.</w:t>
      </w:r>
    </w:p>
    <w:p w14:paraId="42703075"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اما اشکال اين مطلب اين است که نياز، فقط به اين نيست که کارهای زوجه انجام بپذيرد، بلکه گاهی اوقات صرف </w:t>
      </w:r>
      <w:r>
        <w:rPr>
          <w:rFonts w:cs="Abz-2 (Badr)" w:hint="cs"/>
          <w:color w:val="000000" w:themeColor="text1"/>
          <w:sz w:val="28"/>
          <w:szCs w:val="28"/>
          <w:rtl/>
          <w:lang w:bidi="fa-IR"/>
        </w:rPr>
        <w:lastRenderedPageBreak/>
        <w:t>تعدد خادم از نيازهای عرفی زوجه محسوب می</w:t>
      </w:r>
      <w:r>
        <w:rPr>
          <w:rFonts w:cs="Abz-2 (Badr)" w:hint="cs"/>
          <w:color w:val="000000" w:themeColor="text1"/>
          <w:sz w:val="28"/>
          <w:szCs w:val="28"/>
          <w:rtl/>
          <w:lang w:bidi="fa-IR"/>
        </w:rPr>
        <w:softHyphen/>
        <w:t>شود.</w:t>
      </w:r>
    </w:p>
    <w:p w14:paraId="64FFD3EA"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به همين جهت شهيد ثانی فرموده است: </w:t>
      </w:r>
      <w:r>
        <w:rPr>
          <w:rFonts w:cs="Abz-2 (Badr)" w:hint="cs"/>
          <w:color w:val="0070C0"/>
          <w:sz w:val="28"/>
          <w:szCs w:val="28"/>
          <w:rtl/>
          <w:lang w:bidi="fa-IR"/>
        </w:rPr>
        <w:t>«</w:t>
      </w:r>
      <w:r>
        <w:rPr>
          <w:rFonts w:cs="Abz-2 (Badr)" w:hint="cs"/>
          <w:color w:val="0070C0"/>
          <w:sz w:val="28"/>
          <w:szCs w:val="28"/>
          <w:rtl/>
          <w:lang w:bidi="ar"/>
        </w:rPr>
        <w:t>يحتمل اعتبار عادتها في بيت أبيها، فإن كانت ممّن تخدم بخادمين وأكثر، وجب إخدامها بذلك العدد، لأنّه من المعاشرة بالمعروف.»</w:t>
      </w:r>
      <w:r>
        <w:rPr>
          <w:rFonts w:cs="Abz-2 (Badr)"/>
          <w:color w:val="000000" w:themeColor="text1"/>
          <w:sz w:val="28"/>
          <w:szCs w:val="28"/>
          <w:vertAlign w:val="superscript"/>
          <w:rtl/>
          <w:lang w:bidi="fa-IR"/>
        </w:rPr>
        <w:footnoteReference w:id="2"/>
      </w:r>
    </w:p>
    <w:p w14:paraId="4571A8ED"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 بله، چنانچه تعدد خادم اسراف محسوب شود، در اين صورت می</w:t>
      </w:r>
      <w:r>
        <w:rPr>
          <w:rFonts w:cs="Abz-2 (Badr)" w:hint="cs"/>
          <w:color w:val="000000" w:themeColor="text1"/>
          <w:sz w:val="28"/>
          <w:szCs w:val="28"/>
          <w:rtl/>
          <w:lang w:bidi="fa-IR"/>
        </w:rPr>
        <w:softHyphen/>
        <w:t>توان گفت که بيش از نياز زوجه است و بر زوج تهيه آن لازم نيست، هرچند در خانه پدر عادت وی بر اين بوده که بيش از حد نياز خود دارای امکانات باشد.</w:t>
      </w:r>
    </w:p>
    <w:p w14:paraId="346A5BAC"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صورتی که شک شود که تعدد خدمتکار تا چه حدی جزء نياز عرفی زوجه محسوب می</w:t>
      </w:r>
      <w:r>
        <w:rPr>
          <w:rFonts w:cs="Abz-2 (Badr)" w:hint="cs"/>
          <w:color w:val="000000" w:themeColor="text1"/>
          <w:sz w:val="28"/>
          <w:szCs w:val="28"/>
          <w:rtl/>
          <w:lang w:bidi="fa-IR"/>
        </w:rPr>
        <w:softHyphen/>
        <w:t>شود، مقتضای قاعده بسنده کردن به قدر متيقّن است و در زائد بر آن، برائت جاری می</w:t>
      </w:r>
      <w:r>
        <w:rPr>
          <w:rFonts w:cs="Abz-2 (Badr)" w:hint="cs"/>
          <w:color w:val="000000" w:themeColor="text1"/>
          <w:sz w:val="28"/>
          <w:szCs w:val="28"/>
          <w:rtl/>
          <w:lang w:bidi="fa-IR"/>
        </w:rPr>
        <w:softHyphen/>
        <w:t>شود.</w:t>
      </w:r>
    </w:p>
    <w:p w14:paraId="6F4BAB93"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4 ـ آنچه که در خصوص اختيار زوج برای نحوه خدمت کردن به زوجه بيان شده است، در جايی است که بر اساس شأن زوجه، فرقی بين آنها وجود نداشته باشد، اما در صورتی که شأن زوجه مثلاً اين باشد که امه</w:t>
      </w:r>
      <w:r>
        <w:rPr>
          <w:rFonts w:cs="Abz-2 (Badr)" w:hint="cs"/>
          <w:color w:val="000000" w:themeColor="text1"/>
          <w:sz w:val="28"/>
          <w:szCs w:val="28"/>
          <w:rtl/>
          <w:lang w:bidi="fa-IR"/>
        </w:rPr>
        <w:softHyphen/>
        <w:t>ای را در ملکيت خود داشته باشد تا به وی خدمت کند، زوج نمی</w:t>
      </w:r>
      <w:r>
        <w:rPr>
          <w:rFonts w:cs="Abz-2 (Badr)" w:hint="cs"/>
          <w:color w:val="000000" w:themeColor="text1"/>
          <w:sz w:val="28"/>
          <w:szCs w:val="28"/>
          <w:rtl/>
          <w:lang w:bidi="fa-IR"/>
        </w:rPr>
        <w:softHyphen/>
        <w:t>تواند از اين امر استنکاف کرده و به طريقی ديگر خدمت به او را انجام دهد.</w:t>
      </w:r>
    </w:p>
    <w:p w14:paraId="45021B4A" w14:textId="77777777" w:rsidR="00EE7FCD" w:rsidRDefault="00EE7FCD" w:rsidP="00EE7FC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در خصوص اين که زوج خود به زوجه خدمت کند نيز شهيد ثانی فرموده است: </w:t>
      </w:r>
      <w:r>
        <w:rPr>
          <w:rFonts w:cs="Abz-2 (Badr)" w:hint="cs"/>
          <w:color w:val="0070C0"/>
          <w:sz w:val="28"/>
          <w:szCs w:val="28"/>
          <w:rtl/>
          <w:lang w:bidi="fa-IR"/>
        </w:rPr>
        <w:t>«هذا فيما لا تستحيي منه كغسل الثوب، واستقاء الماء، وكنس البيت، وطبخ الطعام. أمّا ما تستحيي منه ـ كالذي يرجع إلى خدمة نفسها من صبّ‌ الماء على يدها، وحمله إلى الخلاء، وغسل خرق الحيض، ونحو ذلك ـ فلها الامتناع من خدمته، لأنّها تحتشمه وتستحيي منه، فيضرّ بحالها، وليس ذلك من المعاشرة بالمعروف.»</w:t>
      </w:r>
      <w:r>
        <w:rPr>
          <w:rFonts w:cs="Abz-2 (Badr)"/>
          <w:color w:val="000000" w:themeColor="text1"/>
          <w:sz w:val="28"/>
          <w:szCs w:val="28"/>
          <w:vertAlign w:val="superscript"/>
          <w:rtl/>
          <w:lang w:bidi="fa-IR"/>
        </w:rPr>
        <w:footnoteReference w:id="3"/>
      </w:r>
    </w:p>
    <w:p w14:paraId="7CDDCD81"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ولی مواردی که ايشان به عنوان اموری برشمرده</w:t>
      </w:r>
      <w:r>
        <w:rPr>
          <w:rFonts w:cs="Abz-2 (Badr)" w:hint="cs"/>
          <w:color w:val="000000" w:themeColor="text1"/>
          <w:sz w:val="28"/>
          <w:szCs w:val="28"/>
          <w:rtl/>
          <w:lang w:bidi="fa-IR"/>
        </w:rPr>
        <w:softHyphen/>
        <w:t>اند که خدمت کردن زوج در آنها سبب شرمندگی زوجه نمی</w:t>
      </w:r>
      <w:r>
        <w:rPr>
          <w:rFonts w:cs="Abz-2 (Badr)" w:hint="cs"/>
          <w:color w:val="000000" w:themeColor="text1"/>
          <w:sz w:val="28"/>
          <w:szCs w:val="28"/>
          <w:rtl/>
          <w:lang w:bidi="fa-IR"/>
        </w:rPr>
        <w:softHyphen/>
        <w:t>گردد، خارج از محل بحث می</w:t>
      </w:r>
      <w:r>
        <w:rPr>
          <w:rFonts w:cs="Abz-2 (Badr)" w:hint="cs"/>
          <w:color w:val="000000" w:themeColor="text1"/>
          <w:sz w:val="28"/>
          <w:szCs w:val="28"/>
          <w:rtl/>
          <w:lang w:bidi="fa-IR"/>
        </w:rPr>
        <w:softHyphen/>
        <w:t>باشند، زيرا شستن لباس و آب کشيدن از چاه و غذا پختن و تميز کردن منزل، از وظايف زوجه نيست تا اين که انجام دادن آنها توسط زوج، به عنوان خدمت به زوجه محسوب شود. مگر اين که در ضمن عقد ارتکازاً يا صراحتاً انجام اين امور بر زوجه شرط شده باشد.</w:t>
      </w:r>
    </w:p>
    <w:p w14:paraId="6421D615"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و در هر حال نکته</w:t>
      </w:r>
      <w:r>
        <w:rPr>
          <w:rFonts w:cs="Abz-2 (Badr)" w:hint="cs"/>
          <w:color w:val="000000" w:themeColor="text1"/>
          <w:sz w:val="28"/>
          <w:szCs w:val="28"/>
          <w:rtl/>
          <w:lang w:bidi="fa-IR"/>
        </w:rPr>
        <w:softHyphen/>
        <w:t>ای که شهيد ثانی به آن اشاره کرده است مبنی بر اين که خدمت کردن زوج به زوجه نبايد به نحوی باشد که سبب شرمندگی زوجه گردد، وگرنه زوجه حق خواهد داشت که آن را نپذيرد، مدعای صحيحی است و دليل آن نيز اين است که در اين صورت، عمل مذکور عرفاً مصداق خدمت کردن به زوجه نخواهد بود، بلکه سبب آزار و ايذاء وی می</w:t>
      </w:r>
      <w:r>
        <w:rPr>
          <w:rFonts w:cs="Abz-2 (Badr)" w:hint="cs"/>
          <w:color w:val="000000" w:themeColor="text1"/>
          <w:sz w:val="28"/>
          <w:szCs w:val="28"/>
          <w:rtl/>
          <w:lang w:bidi="fa-IR"/>
        </w:rPr>
        <w:softHyphen/>
        <w:t>باشد.</w:t>
      </w:r>
    </w:p>
    <w:p w14:paraId="011EC62A" w14:textId="77777777" w:rsidR="00EE7FCD" w:rsidRDefault="00EE7FCD" w:rsidP="00EE7FC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5 ـ در صورتی که زوج مؤونه کنيزی را که ملک زوجه است بپردازد، شهيد ثانی در اين خصوص فرموده است: </w:t>
      </w:r>
      <w:r>
        <w:rPr>
          <w:rFonts w:cs="Abz-2 (Badr)" w:hint="cs"/>
          <w:color w:val="0070C0"/>
          <w:sz w:val="28"/>
          <w:szCs w:val="28"/>
          <w:rtl/>
          <w:lang w:bidi="fa-IR"/>
        </w:rPr>
        <w:t>«</w:t>
      </w:r>
      <w:r>
        <w:rPr>
          <w:rFonts w:cs="Abz-2 (Badr)" w:hint="cs"/>
          <w:color w:val="0070C0"/>
          <w:sz w:val="28"/>
          <w:szCs w:val="28"/>
          <w:rtl/>
          <w:lang w:bidi="ar"/>
        </w:rPr>
        <w:t>إذا أخدمها بحرّة أو أمة مستأجرة، فليس عليه سوى الأُجرة. وإن أخدمها بجاريته فنفقتها تجب بحقّ‌ الملك. وإن كان يخدمها بكفاية مؤونة خادمها فهذا موضع نفقة الخادمة. والقول في جنس طعامها وقدره كهو في جنس طعام المخدومة.</w:t>
      </w:r>
    </w:p>
    <w:p w14:paraId="14A4E744"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color w:val="0070C0"/>
          <w:sz w:val="28"/>
          <w:szCs w:val="28"/>
          <w:rtl/>
          <w:lang w:bidi="ar"/>
        </w:rPr>
        <w:t>والأصحّ اعتبار قدر كفايتها كما مرّ. وكذا يجب لها الإدام المعتاد لأمثالها لا لجنس طعام المخدومة.»</w:t>
      </w:r>
      <w:r>
        <w:rPr>
          <w:rFonts w:cs="Abz-2 (Badr)"/>
          <w:color w:val="000000" w:themeColor="text1"/>
          <w:sz w:val="28"/>
          <w:szCs w:val="28"/>
          <w:vertAlign w:val="superscript"/>
          <w:rtl/>
          <w:lang w:bidi="fa-IR"/>
        </w:rPr>
        <w:footnoteReference w:id="4"/>
      </w:r>
    </w:p>
    <w:p w14:paraId="1548E36A"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حق اين است که در نفقه کنيزی که ملک زوجه است، بايد شأن زوجه مراعات شود، چون دادن نفقه خادمه به جهت ملک بر زوج واجب نيست، بلکه از باب وجوب دفع نفقه زوجه بر او واجب شده است. بنابر اين همان گونه که در آنچه که به زوجه می</w:t>
      </w:r>
      <w:r>
        <w:rPr>
          <w:rFonts w:cs="Abz-2 (Badr)" w:hint="cs"/>
          <w:color w:val="000000" w:themeColor="text1"/>
          <w:sz w:val="28"/>
          <w:szCs w:val="28"/>
          <w:rtl/>
          <w:lang w:bidi="fa-IR"/>
        </w:rPr>
        <w:softHyphen/>
        <w:t>دهد، شأن او را مراعات می</w:t>
      </w:r>
      <w:r>
        <w:rPr>
          <w:rFonts w:cs="Abz-2 (Badr)" w:hint="cs"/>
          <w:color w:val="000000" w:themeColor="text1"/>
          <w:sz w:val="28"/>
          <w:szCs w:val="28"/>
          <w:rtl/>
          <w:lang w:bidi="fa-IR"/>
        </w:rPr>
        <w:softHyphen/>
        <w:t>کند، در آنچه که به کنيز او می</w:t>
      </w:r>
      <w:r>
        <w:rPr>
          <w:rFonts w:cs="Abz-2 (Badr)" w:hint="cs"/>
          <w:color w:val="000000" w:themeColor="text1"/>
          <w:sz w:val="28"/>
          <w:szCs w:val="28"/>
          <w:rtl/>
          <w:lang w:bidi="fa-IR"/>
        </w:rPr>
        <w:softHyphen/>
        <w:t>پردازد نيز بايد شأن زوجه را مراعات نمايد.</w:t>
      </w:r>
      <w:r>
        <w:rPr>
          <w:rFonts w:cs="Abz-2 (Badr)" w:hint="cs"/>
          <w:color w:val="000000" w:themeColor="text1"/>
          <w:sz w:val="28"/>
          <w:szCs w:val="28"/>
          <w:rtl/>
          <w:lang w:bidi="fa-IR"/>
        </w:rPr>
        <w:br w:type="page"/>
      </w:r>
    </w:p>
    <w:bookmarkEnd w:id="1"/>
    <w:p w14:paraId="284911F8" w14:textId="77777777" w:rsidR="00EE7FCD" w:rsidRDefault="00EE7FCD" w:rsidP="00EE7FCD">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بقيّة النقاط المتعلّقة بكلام الشيخ في المبسوط كما يلي:</w:t>
      </w:r>
    </w:p>
    <w:p w14:paraId="1643189F" w14:textId="77777777" w:rsidR="00EE7FCD" w:rsidRDefault="00EE7FCD" w:rsidP="00EE7FCD">
      <w:pPr>
        <w:widowControl w:val="0"/>
        <w:bidi/>
        <w:spacing w:after="0"/>
        <w:ind w:firstLine="284"/>
        <w:jc w:val="both"/>
        <w:rPr>
          <w:rFonts w:cs="Abz-2 (Badr)" w:hint="cs"/>
          <w:color w:val="000000" w:themeColor="text1"/>
          <w:sz w:val="28"/>
          <w:szCs w:val="28"/>
          <w:rtl/>
        </w:rPr>
      </w:pPr>
      <w:r>
        <w:rPr>
          <w:rFonts w:cs="Abz-2 (Badr)" w:hint="cs"/>
          <w:b/>
          <w:bCs/>
          <w:color w:val="000000" w:themeColor="text1"/>
          <w:sz w:val="28"/>
          <w:szCs w:val="28"/>
          <w:rtl/>
        </w:rPr>
        <w:t>الثاني:</w:t>
      </w:r>
      <w:r>
        <w:rPr>
          <w:rFonts w:cs="Abz-2 (Badr)" w:hint="cs"/>
          <w:color w:val="000000" w:themeColor="text1"/>
          <w:sz w:val="28"/>
          <w:szCs w:val="28"/>
          <w:rtl/>
        </w:rPr>
        <w:t xml:space="preserve"> إنّ ما ذكره من أنّ الزوجة قد لا تكون لها شأنيّة الاحتياج إلى الخادم في حال الصحّة ولكن تحصل لها هذه الشأنيّة في حال المرض، كلام صحيح ومرجعه إلى نفس الملاك العرفي الذي تقدّم، فإنّ العرف يفرّق في حكمه بلزوم دفع ما تحتاج إليه الزوجة ممّا يقوّم به ظهرها وصلبها، بين أحوال الزوجات المختلفة.</w:t>
      </w:r>
    </w:p>
    <w:p w14:paraId="27144C77" w14:textId="77777777" w:rsidR="00EE7FCD" w:rsidRDefault="00EE7FCD" w:rsidP="00EE7FCD">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والعجب أنّ الشيخ مع ذهابه هنا إلی وجوب تهيئة الخادم للزوجة في حال مرضها، لم ير وجوب دفع أُجرة تداويها علی الزوج</w:t>
      </w:r>
      <w:r>
        <w:rPr>
          <w:rFonts w:cs="Abz-2 (Badr)"/>
          <w:color w:val="000000" w:themeColor="text1"/>
          <w:sz w:val="28"/>
          <w:szCs w:val="28"/>
          <w:vertAlign w:val="superscript"/>
          <w:rtl/>
          <w:lang w:bidi="fa-IR"/>
        </w:rPr>
        <w:footnoteReference w:id="5"/>
      </w:r>
      <w:r>
        <w:rPr>
          <w:rFonts w:cs="Abz-2 (Badr)" w:hint="cs"/>
          <w:color w:val="000000" w:themeColor="text1"/>
          <w:sz w:val="28"/>
          <w:szCs w:val="28"/>
          <w:rtl/>
        </w:rPr>
        <w:t>، مع أنّ الملاك في الموردين واحد، ولا وجه للتفصيل بينهما بالحکم بوجوب تهيئة الخادم لها وعدم وجوب دفع ثمن الدواء وأُجرة الطبيب.</w:t>
      </w:r>
    </w:p>
    <w:p w14:paraId="50C63201"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b/>
          <w:bCs/>
          <w:color w:val="000000" w:themeColor="text1"/>
          <w:sz w:val="28"/>
          <w:szCs w:val="28"/>
          <w:rtl/>
          <w:lang w:bidi="fa-IR"/>
        </w:rPr>
        <w:t>الثالث:</w:t>
      </w:r>
      <w:r>
        <w:rPr>
          <w:rFonts w:cs="Abz-2 (Badr)" w:hint="cs"/>
          <w:color w:val="000000" w:themeColor="text1"/>
          <w:sz w:val="28"/>
          <w:szCs w:val="28"/>
          <w:rtl/>
          <w:lang w:bidi="fa-IR"/>
        </w:rPr>
        <w:t xml:space="preserve"> </w:t>
      </w:r>
      <w:r>
        <w:rPr>
          <w:rFonts w:cs="Abz-2 (Badr)" w:hint="cs"/>
          <w:color w:val="000000" w:themeColor="text1"/>
          <w:sz w:val="28"/>
          <w:szCs w:val="28"/>
          <w:rtl/>
        </w:rPr>
        <w:t>إنّ عدد الخوادم اللائي تحتاج إليهنّ الزوجة يتعيّن بقدر احتياجها لهنّ.</w:t>
      </w:r>
    </w:p>
    <w:p w14:paraId="5E793E78" w14:textId="77777777" w:rsidR="00EE7FCD" w:rsidRDefault="00EE7FCD" w:rsidP="00EE7FCD">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إلا أنّه يثار هنا سؤال وهو أنّه إذا كان العرف السائد في بعض المجتمعات يقتضي أن يكون لبعض الأشخاص عدّة خدم وإن كان احتياجهم الفعلي في ترتيب أُمورهم يمكن أن يسدّه عدد أقلّ من الخدمة، فهل يجب في باب النفقة اتّباع هذا العرف، أم أنّ الملاك هو مجرّد سدّ الحاجة الفعليّة في ترتيب أُمور الزوجة وإنجاز شؤونها؟</w:t>
      </w:r>
    </w:p>
    <w:p w14:paraId="6C5E6B8A" w14:textId="77777777" w:rsidR="00EE7FCD" w:rsidRDefault="00EE7FCD" w:rsidP="00EE7FCD">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ذهب الشيخ إلی کفاية تأمين ما يحتاج إليه الزوجة من الخادمة لترتيب أُمورها، وما زاد على ذلك فليس بواجب على الزوج.</w:t>
      </w:r>
    </w:p>
    <w:p w14:paraId="7D508730"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وفيه: أنّ الحاجة لا تقتصر على مجرّد إنجاز أُمور الزوجة، بل قد يعدّ تعدّد الخادم نفسه من حاجاتها العرفيّة في بعض الأحيان.</w:t>
      </w:r>
    </w:p>
    <w:p w14:paraId="155F3899"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فلذا قال صاحب المسال</w:t>
      </w:r>
      <w:r>
        <w:rPr>
          <w:rFonts w:cs="Abz-2 (Badr)" w:hint="cs"/>
          <w:color w:val="000000" w:themeColor="text1"/>
          <w:sz w:val="28"/>
          <w:szCs w:val="28"/>
          <w:rtl/>
        </w:rPr>
        <w:t>ك</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يحتمل اعتبار عادتها في بيت أبيها، فإن كانت ممّن تخدم بخادمين وأكثر، وجب إخدامها بذلك العدد، لأنّه من المعاشرة بالمعروف.»</w:t>
      </w:r>
      <w:r>
        <w:rPr>
          <w:rFonts w:cs="Abz-2 (Badr)"/>
          <w:color w:val="000000" w:themeColor="text1"/>
          <w:sz w:val="28"/>
          <w:szCs w:val="28"/>
          <w:vertAlign w:val="superscript"/>
          <w:rtl/>
          <w:lang w:bidi="fa-IR"/>
        </w:rPr>
        <w:footnoteReference w:id="6"/>
      </w:r>
    </w:p>
    <w:p w14:paraId="010AF850"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 xml:space="preserve">نعم، إذا عدّ تعدّد الخادم إسرافاً، أمكن القول حينئذٍ بأنّه زائد على حاجة الزوجة ولا يجب على الزوج تهيئته، وإن </w:t>
      </w:r>
      <w:r>
        <w:rPr>
          <w:rFonts w:cs="Abz-2 (Badr)" w:hint="cs"/>
          <w:color w:val="000000" w:themeColor="text1"/>
          <w:sz w:val="28"/>
          <w:szCs w:val="28"/>
          <w:rtl/>
        </w:rPr>
        <w:lastRenderedPageBreak/>
        <w:t>كانت الزوجة في بيت أبيها معتادة على التمتّع بإمكانات تفوق حاجتها.</w:t>
      </w:r>
    </w:p>
    <w:p w14:paraId="1CE4C76B" w14:textId="77777777" w:rsidR="00EE7FCD" w:rsidRDefault="00EE7FCD" w:rsidP="00EE7FCD">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وأمّا إذا شكّ في أنّ تعدّد الخوادم إلى أيّ حدّ يعدّ من حاجة الزوجة العرفيّة، فمقتضى القاعدة الاكتفاء بالقدر المتيقّن والبراءة عمّا زاد عليه.</w:t>
      </w:r>
    </w:p>
    <w:p w14:paraId="0FC309C0"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b/>
          <w:bCs/>
          <w:color w:val="000000" w:themeColor="text1"/>
          <w:sz w:val="28"/>
          <w:szCs w:val="28"/>
          <w:rtl/>
          <w:lang w:bidi="fa-IR"/>
        </w:rPr>
        <w:t>الرابع:</w:t>
      </w:r>
      <w:r>
        <w:rPr>
          <w:rFonts w:cs="Abz-2 (Badr)" w:hint="cs"/>
          <w:color w:val="000000" w:themeColor="text1"/>
          <w:sz w:val="28"/>
          <w:szCs w:val="28"/>
          <w:rtl/>
          <w:lang w:bidi="fa-IR"/>
        </w:rPr>
        <w:t xml:space="preserve"> إنّ ما ذهب إليه الشيخ </w:t>
      </w:r>
      <w:r>
        <w:rPr>
          <w:rFonts w:cs="Abz-2 (Badr)" w:hint="cs"/>
          <w:color w:val="000000" w:themeColor="text1"/>
          <w:sz w:val="28"/>
          <w:szCs w:val="28"/>
          <w:rtl/>
        </w:rPr>
        <w:t>من أنّ للزوج اختيار طريقة القيام بخدمة الزوجة، إنّما هو فيما إذا لم تكن بين تلك الطرق فروق تعتدّ بها بحسب شأن الزوجة. أمّا إذا كان من شأن الزوجة مثلاً أن تكون لها أمة مملوكة تخدمها، فلا يجوز للزوج الامتناع عن ذلك ولا الاكتفاء بطريقة أُخرى في خدمتها.</w:t>
      </w:r>
    </w:p>
    <w:p w14:paraId="4859BA5E" w14:textId="77777777" w:rsidR="00EE7FCD" w:rsidRDefault="00EE7FCD" w:rsidP="00EE7FC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ثمّ إنّه قال الشهيد الثاني في خصوص قيام الزوج بخدمة الزوجة بنفسه: </w:t>
      </w:r>
      <w:r>
        <w:rPr>
          <w:rFonts w:cs="Abz-2 (Badr)" w:hint="cs"/>
          <w:color w:val="0070C0"/>
          <w:sz w:val="28"/>
          <w:szCs w:val="28"/>
          <w:rtl/>
          <w:lang w:bidi="fa-IR"/>
        </w:rPr>
        <w:t>«هذا فيما لا تستحيي منه كغسل الثوب، واستقاء الماء، وكنس البيت، وطبخ الطعام. أمّا ما تستحيي منه ـ كالذي يرجع إلى خدمة نفسها من صبّ‌ الماء على يدها، وحمله إلى الخلاء، وغسل خرق الحيض، ونحو ذلك ـ فلها الامتناع من خدمته، لأنّها تحتشمه وتستحيي منه، فيضرّ بحالها، وليس ذلك من المعاشرة بالمعروف.»</w:t>
      </w:r>
      <w:r>
        <w:rPr>
          <w:rFonts w:cs="Abz-2 (Badr)"/>
          <w:color w:val="000000" w:themeColor="text1"/>
          <w:sz w:val="28"/>
          <w:szCs w:val="28"/>
          <w:vertAlign w:val="superscript"/>
          <w:rtl/>
          <w:lang w:bidi="fa-IR"/>
        </w:rPr>
        <w:footnoteReference w:id="7"/>
      </w:r>
    </w:p>
    <w:p w14:paraId="354F7F67" w14:textId="77777777" w:rsidR="00EE7FCD" w:rsidRDefault="00EE7FCD" w:rsidP="00EE7FCD">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ولكن ما عدّه من الأُمور التي لا يعدّ قيام الزوج بها موجباً لاستحياء الزوجة، خارج عن محلّ الكلام؛ لأنّ غسل الثياب واستقاء الماء وطبخ الطعام وتنظيف البيت ليست من واجبات الزوجة كي يكون قيام الزوج بها خدمة لها. اللهمّ إلّا إذا اشترط عليها ـ صراحة أو ارتكازاً ـ ضمن العقد القيام بهذه الأُمور، فعندئذٍ يصحّ عدّ قيام الزوج بها من باب خدمته لها.</w:t>
      </w:r>
    </w:p>
    <w:p w14:paraId="45D76D15"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وعلى كلّ حال فإنّ ما ذکره الشهيد الثاني من أنّ خدمة الزوج للزوجة لا ينبغي أن تكون على وجه يورث استحياءها وإلا كان لها أن ترفضها، کلام تامّ صحيح؛ وذلك لأنّ العمل المذكور لا يعدّ عندئذٍ من خدمة الزوجة عرفاً، بل يكون من قبيل إيذائها وإضرارها.</w:t>
      </w:r>
    </w:p>
    <w:p w14:paraId="74809039" w14:textId="77777777" w:rsidR="00EE7FCD" w:rsidRDefault="00EE7FCD" w:rsidP="00EE7FCD">
      <w:pPr>
        <w:widowControl w:val="0"/>
        <w:bidi/>
        <w:spacing w:after="0"/>
        <w:ind w:firstLine="284"/>
        <w:jc w:val="both"/>
        <w:rPr>
          <w:rFonts w:cs="Abz-2 (Badr)"/>
          <w:color w:val="0070C0"/>
          <w:sz w:val="28"/>
          <w:szCs w:val="28"/>
          <w:lang w:bidi="fa-IR"/>
        </w:rPr>
      </w:pPr>
      <w:r>
        <w:rPr>
          <w:rFonts w:cs="Abz-2 (Badr)" w:hint="cs"/>
          <w:b/>
          <w:bCs/>
          <w:color w:val="000000" w:themeColor="text1"/>
          <w:sz w:val="28"/>
          <w:szCs w:val="28"/>
          <w:rtl/>
          <w:lang w:bidi="fa-IR"/>
        </w:rPr>
        <w:t>الخامس:</w:t>
      </w:r>
      <w:r>
        <w:rPr>
          <w:rFonts w:cs="Abz-2 (Badr)" w:hint="cs"/>
          <w:color w:val="000000" w:themeColor="text1"/>
          <w:sz w:val="28"/>
          <w:szCs w:val="28"/>
          <w:rtl/>
          <w:lang w:bidi="fa-IR"/>
        </w:rPr>
        <w:t xml:space="preserve"> </w:t>
      </w:r>
      <w:r>
        <w:rPr>
          <w:rFonts w:cs="Abz-2 (Badr)" w:hint="cs"/>
          <w:color w:val="000000" w:themeColor="text1"/>
          <w:sz w:val="28"/>
          <w:szCs w:val="28"/>
          <w:rtl/>
        </w:rPr>
        <w:t xml:space="preserve">في حال قيام الزوج بدفع مؤونة الأمة المملوكة للزوجة، قال الشهيد الثاني في ذلك ما نصّه: </w:t>
      </w:r>
      <w:r>
        <w:rPr>
          <w:rFonts w:cs="Abz-2 (Badr)" w:hint="cs"/>
          <w:color w:val="0070C0"/>
          <w:sz w:val="28"/>
          <w:szCs w:val="28"/>
          <w:rtl/>
          <w:lang w:bidi="fa-IR"/>
        </w:rPr>
        <w:t>«</w:t>
      </w:r>
      <w:r>
        <w:rPr>
          <w:rFonts w:cs="Abz-2 (Badr)" w:hint="cs"/>
          <w:color w:val="0070C0"/>
          <w:sz w:val="28"/>
          <w:szCs w:val="28"/>
          <w:rtl/>
          <w:lang w:bidi="ar"/>
        </w:rPr>
        <w:t>إذا أخدمها بحرّة أو أمة مستأجرة، فليس عليه سوى الأُجرة. وإن أخدمها بجاريته فنفقتها تجب بحقّ‌ الملك. وإن كان يخدمها بكفاية مؤونة خادمها فهذا موضع نفقة الخادمة. والقول في جنس طعامها وقدره كهو في جنس طعام المخدومة.</w:t>
      </w:r>
    </w:p>
    <w:p w14:paraId="0329D37F" w14:textId="77777777" w:rsidR="00EE7FCD" w:rsidRDefault="00EE7FCD" w:rsidP="00EE7FCD">
      <w:pPr>
        <w:widowControl w:val="0"/>
        <w:bidi/>
        <w:spacing w:after="0"/>
        <w:ind w:firstLine="284"/>
        <w:jc w:val="both"/>
        <w:rPr>
          <w:rFonts w:cs="Abz-2 (Badr)"/>
          <w:color w:val="000000" w:themeColor="text1"/>
          <w:sz w:val="28"/>
          <w:szCs w:val="28"/>
          <w:lang w:bidi="fa-IR"/>
        </w:rPr>
      </w:pPr>
      <w:r>
        <w:rPr>
          <w:rFonts w:cs="Abz-2 (Badr)" w:hint="cs"/>
          <w:color w:val="0070C0"/>
          <w:sz w:val="28"/>
          <w:szCs w:val="28"/>
          <w:rtl/>
          <w:lang w:bidi="ar"/>
        </w:rPr>
        <w:lastRenderedPageBreak/>
        <w:t>والأصحّ اعتبار قدر كفايتها كما مرّ. وكذا يجب لها الإدام المعتاد لأمثالها لا لجنس طعام المخدومة.»</w:t>
      </w:r>
      <w:r>
        <w:rPr>
          <w:rFonts w:cs="Abz-2 (Badr)"/>
          <w:color w:val="000000" w:themeColor="text1"/>
          <w:sz w:val="28"/>
          <w:szCs w:val="28"/>
          <w:vertAlign w:val="superscript"/>
          <w:rtl/>
          <w:lang w:bidi="fa-IR"/>
        </w:rPr>
        <w:footnoteReference w:id="8"/>
      </w:r>
    </w:p>
    <w:p w14:paraId="76A35B1E" w14:textId="77777777" w:rsidR="00EE7FCD" w:rsidRDefault="00EE7FCD" w:rsidP="00EE7FC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ولكنّ الحقّ أنّه يجب في تأمين نفقة الأمة المملوكة للزوجة مراعاة شأن الزوجة؛ لأنّ دفع نفقة الخادمة ليس واجباً على الزوج من باب الملك، وإنّما وجب عليه من باب وجوب دفع نفقة الزوجة. فكما يراعي شأن الزوجة فيما يعطيها من النفقة، كذلك يجب عليه مراعاة شأنها فيما يدفعه لنفقة أمتها.</w:t>
      </w:r>
    </w:p>
    <w:p w14:paraId="2AD04477" w14:textId="7D63A4A4" w:rsidR="00B706A3" w:rsidRPr="00EE7FCD" w:rsidRDefault="00B706A3" w:rsidP="00EE7FCD">
      <w:pPr>
        <w:rPr>
          <w:rtl/>
        </w:rPr>
      </w:pPr>
    </w:p>
    <w:sectPr w:rsidR="00B706A3" w:rsidRPr="00EE7FCD"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9F56E" w14:textId="77777777" w:rsidR="00E637A6" w:rsidRDefault="00E637A6" w:rsidP="00F71127">
      <w:pPr>
        <w:spacing w:after="0" w:line="240" w:lineRule="auto"/>
      </w:pPr>
      <w:r>
        <w:separator/>
      </w:r>
    </w:p>
  </w:endnote>
  <w:endnote w:type="continuationSeparator" w:id="0">
    <w:p w14:paraId="3D9B6058" w14:textId="77777777" w:rsidR="00E637A6" w:rsidRDefault="00E637A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B5C7C" w14:textId="77777777" w:rsidR="00E637A6" w:rsidRDefault="00E637A6" w:rsidP="00EE25C0">
      <w:pPr>
        <w:bidi/>
        <w:spacing w:after="0" w:line="240" w:lineRule="auto"/>
      </w:pPr>
      <w:r>
        <w:separator/>
      </w:r>
    </w:p>
  </w:footnote>
  <w:footnote w:type="continuationSeparator" w:id="0">
    <w:p w14:paraId="1A3D1CB8" w14:textId="77777777" w:rsidR="00E637A6" w:rsidRDefault="00E637A6" w:rsidP="00F71127">
      <w:pPr>
        <w:bidi/>
        <w:spacing w:after="0" w:line="240" w:lineRule="auto"/>
      </w:pPr>
      <w:r>
        <w:continuationSeparator/>
      </w:r>
    </w:p>
  </w:footnote>
  <w:footnote w:id="1">
    <w:p w14:paraId="73EB7FA4"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ـ مبسوط،ج6،ص8.</w:t>
      </w:r>
    </w:p>
  </w:footnote>
  <w:footnote w:id="2">
    <w:p w14:paraId="2C8C9D28"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،ج8،ص458.</w:t>
      </w:r>
    </w:p>
  </w:footnote>
  <w:footnote w:id="3">
    <w:p w14:paraId="2975D4A2"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همان،ص459.</w:t>
      </w:r>
    </w:p>
  </w:footnote>
  <w:footnote w:id="4">
    <w:p w14:paraId="286B212C"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همان،ص458.</w:t>
      </w:r>
    </w:p>
  </w:footnote>
  <w:footnote w:id="5">
    <w:p w14:paraId="30E4520D"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المبسوط،ج6،ص8.</w:t>
      </w:r>
    </w:p>
  </w:footnote>
  <w:footnote w:id="6">
    <w:p w14:paraId="422C97FC"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مسال</w:t>
      </w:r>
      <w:r>
        <w:rPr>
          <w:rFonts w:cs="Abz-2 (Badr)" w:hint="cs"/>
          <w:rtl/>
        </w:rPr>
        <w:t>ك الأفهام</w:t>
      </w:r>
      <w:r>
        <w:rPr>
          <w:rFonts w:cs="Abz-2 (Badr)" w:hint="cs"/>
          <w:rtl/>
          <w:lang w:bidi="fa-IR"/>
        </w:rPr>
        <w:t>،ج8،ص458.</w:t>
      </w:r>
    </w:p>
  </w:footnote>
  <w:footnote w:id="7">
    <w:p w14:paraId="43CF8187"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المصدر نفسه،ص459.</w:t>
      </w:r>
    </w:p>
  </w:footnote>
  <w:footnote w:id="8">
    <w:p w14:paraId="0AA8EFDD" w14:textId="77777777" w:rsidR="00EE7FCD" w:rsidRDefault="00EE7FCD" w:rsidP="00EE7FCD">
      <w:pPr>
        <w:pStyle w:val="FootnoteText"/>
        <w:bidi/>
        <w:rPr>
          <w:rFonts w:cs="Abz-2 (Badr)" w:hint="cs"/>
          <w:rtl/>
          <w:lang w:bidi="fa-IR"/>
        </w:rPr>
      </w:pPr>
      <w:r>
        <w:rPr>
          <w:rFonts w:cs="Abz-2 (Badr)"/>
          <w:lang w:bidi="fa-IR"/>
        </w:rPr>
        <w:footnoteRef/>
      </w:r>
      <w:r>
        <w:rPr>
          <w:rFonts w:cs="Abz-2 (Badr)" w:hint="cs"/>
          <w:rtl/>
          <w:lang w:bidi="fa-IR"/>
        </w:rPr>
        <w:t> </w:t>
      </w:r>
      <w:r>
        <w:rPr>
          <w:rFonts w:cs="Abz-2 (Badr)" w:hint="cs"/>
          <w:rtl/>
          <w:lang w:bidi="fa-IR"/>
        </w:rPr>
        <w:t xml:space="preserve">ـ </w:t>
      </w:r>
      <w:r>
        <w:rPr>
          <w:rFonts w:cs="Abz-2 (Badr)" w:hint="cs"/>
          <w:rtl/>
          <w:lang w:bidi="fa-IR"/>
        </w:rPr>
        <w:t>المصدر نفسه،ص458.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6F7FB5B"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487409">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87409">
                            <w:rPr>
                              <w:rFonts w:cs="B Mehr" w:hint="cs"/>
                              <w:rtl/>
                              <w:lang w:bidi="fa-IR"/>
                            </w:rPr>
                            <w:t>18</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6F7FB5B"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487409">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87409">
                      <w:rPr>
                        <w:rFonts w:cs="B Mehr" w:hint="cs"/>
                        <w:rtl/>
                        <w:lang w:bidi="fa-IR"/>
                      </w:rPr>
                      <w:t>18</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409"/>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0612"/>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7A6"/>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E7FCD"/>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1771639">
      <w:bodyDiv w:val="1"/>
      <w:marLeft w:val="0"/>
      <w:marRight w:val="0"/>
      <w:marTop w:val="0"/>
      <w:marBottom w:val="0"/>
      <w:divBdr>
        <w:top w:val="none" w:sz="0" w:space="0" w:color="auto"/>
        <w:left w:val="none" w:sz="0" w:space="0" w:color="auto"/>
        <w:bottom w:val="none" w:sz="0" w:space="0" w:color="auto"/>
        <w:right w:val="none" w:sz="0" w:space="0" w:color="auto"/>
      </w:divBdr>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21732</TotalTime>
  <Pages>1</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687</cp:revision>
  <cp:lastPrinted>2025-04-14T09:12:00Z</cp:lastPrinted>
  <dcterms:created xsi:type="dcterms:W3CDTF">2022-10-16T08:36:00Z</dcterms:created>
  <dcterms:modified xsi:type="dcterms:W3CDTF">2025-12-09T09:49:00Z</dcterms:modified>
</cp:coreProperties>
</file>