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DFE03" w14:textId="77777777" w:rsidR="0063552D" w:rsidRDefault="0063552D" w:rsidP="0063552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0567123" w14:textId="77777777" w:rsidR="0063552D" w:rsidRDefault="0063552D" w:rsidP="0063552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F3F2075" w14:textId="77777777" w:rsidR="0063552D" w:rsidRDefault="0063552D" w:rsidP="0063552D">
      <w:pPr>
        <w:widowControl w:val="0"/>
        <w:bidi/>
        <w:spacing w:after="0"/>
        <w:jc w:val="center"/>
        <w:rPr>
          <w:rFonts w:cs="B Mitra" w:hint="cs"/>
          <w:b/>
          <w:bCs/>
          <w:sz w:val="32"/>
          <w:szCs w:val="32"/>
          <w:rtl/>
          <w:lang w:bidi="fa-IR"/>
        </w:rPr>
      </w:pPr>
      <w:r>
        <w:rPr>
          <w:rFonts w:cs="B Mitra" w:hint="cs"/>
          <w:b/>
          <w:bCs/>
          <w:sz w:val="32"/>
          <w:szCs w:val="32"/>
          <w:rtl/>
          <w:lang w:bidi="fa-IR"/>
        </w:rPr>
        <w:t>جلسه 842</w:t>
      </w:r>
    </w:p>
    <w:p w14:paraId="33CD130E" w14:textId="77777777" w:rsidR="0063552D" w:rsidRDefault="0063552D" w:rsidP="0063552D">
      <w:pPr>
        <w:widowControl w:val="0"/>
        <w:bidi/>
        <w:spacing w:after="0"/>
        <w:ind w:firstLine="284"/>
        <w:jc w:val="both"/>
        <w:rPr>
          <w:rFonts w:cs="Abz-2 (Badr)" w:hint="cs"/>
          <w:sz w:val="28"/>
          <w:szCs w:val="28"/>
          <w:rtl/>
          <w:lang w:bidi="fa-IR"/>
        </w:rPr>
      </w:pPr>
      <w:bookmarkStart w:id="0" w:name="_Hlk159096966"/>
    </w:p>
    <w:p w14:paraId="5D60BEF3" w14:textId="77777777" w:rsidR="0063552D" w:rsidRDefault="0063552D" w:rsidP="0063552D">
      <w:pPr>
        <w:widowControl w:val="0"/>
        <w:bidi/>
        <w:spacing w:after="0"/>
        <w:ind w:firstLine="284"/>
        <w:jc w:val="both"/>
        <w:rPr>
          <w:rFonts w:cs="Abz-2 (Badr)" w:hint="cs"/>
          <w:color w:val="000000" w:themeColor="text1"/>
          <w:sz w:val="28"/>
          <w:szCs w:val="28"/>
          <w:rtl/>
          <w:lang w:bidi="ar"/>
        </w:rPr>
      </w:pPr>
      <w:bookmarkStart w:id="1" w:name="_Hlk209798859"/>
      <w:bookmarkEnd w:id="0"/>
      <w:r>
        <w:rPr>
          <w:rFonts w:cs="Abz-2 (Badr)" w:hint="cs"/>
          <w:color w:val="000000" w:themeColor="text1"/>
          <w:sz w:val="28"/>
          <w:szCs w:val="28"/>
          <w:rtl/>
          <w:lang w:bidi="ar"/>
        </w:rPr>
        <w:t>جلسه قبل گفتيم که نشوز مانع استحقاق زوجه برای نفقه می</w:t>
      </w:r>
      <w:r>
        <w:rPr>
          <w:rFonts w:cs="Abz-2 (Badr)" w:hint="cs"/>
          <w:color w:val="000000" w:themeColor="text1"/>
          <w:sz w:val="28"/>
          <w:szCs w:val="28"/>
          <w:rtl/>
          <w:lang w:bidi="ar"/>
        </w:rPr>
        <w:softHyphen/>
        <w:t>گردد و استدلال بر آن را نيز ذکر کرديم.</w:t>
      </w:r>
    </w:p>
    <w:p w14:paraId="638A5953" w14:textId="77777777" w:rsidR="0063552D" w:rsidRDefault="0063552D" w:rsidP="0063552D">
      <w:pPr>
        <w:widowControl w:val="0"/>
        <w:bidi/>
        <w:spacing w:after="0"/>
        <w:ind w:firstLine="284"/>
        <w:jc w:val="both"/>
        <w:rPr>
          <w:rFonts w:cs="Abz-2 (Badr)" w:hint="cs"/>
          <w:color w:val="000000" w:themeColor="text1"/>
          <w:sz w:val="28"/>
          <w:szCs w:val="28"/>
          <w:rtl/>
          <w:lang w:bidi="ar"/>
        </w:rPr>
      </w:pPr>
      <w:bookmarkStart w:id="2" w:name="_Hlk210056738"/>
      <w:r>
        <w:rPr>
          <w:rFonts w:cs="Abz-2 (Badr)" w:hint="cs"/>
          <w:color w:val="000000" w:themeColor="text1"/>
          <w:sz w:val="28"/>
          <w:szCs w:val="28"/>
          <w:rtl/>
          <w:lang w:bidi="ar"/>
        </w:rPr>
        <w:t xml:space="preserve">البته </w:t>
      </w:r>
      <w:r>
        <w:rPr>
          <w:rFonts w:cs="Abz-2 (Badr)" w:hint="cs"/>
          <w:color w:val="000000" w:themeColor="text1"/>
          <w:sz w:val="28"/>
          <w:szCs w:val="28"/>
          <w:rtl/>
        </w:rPr>
        <w:t>برخی برای اثبات اين مطلب به تقابلی بودن حقوق زوجين استناد کرده‌اند؛ بدين معنا که حق هر يک از زوجين بر ديگری، در برابر حقی است که آن ديگری بر عهده وی دارد. بنابر اين، اگر يکی از آنان از ادای حق ديگری امتناع ورزد، ديگری نيز مجاز خواهد بود که از ادای حق او خودداری نمايد.</w:t>
      </w:r>
    </w:p>
    <w:p w14:paraId="4D91B851" w14:textId="77777777" w:rsidR="0063552D" w:rsidRDefault="0063552D" w:rsidP="0063552D">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rPr>
        <w:t>اما پيش‌تر و در بحث جواز امتناع زوجه از تمکين خاص تا زمانی که مهر را به طور کامل دريافت نکرده است، گذشت که استناد به اين استدلال برای جواز امتناع از ادای حق با اشکال روبه‌رو است؛ زيرا زوجين حقوق متعددی بر عهده يکديگر دارند، و معياری روشن در دست نيست که مشخص سازد کدام يک از اين حقوق در برابر کدام حق طرف مقابل قرار گرفته است تا بتوان بر اساس آن حکم کرد که در صورت امتناع يکی از آنان از ادای حقی، ديگری نيز مجاز به امتناع از حق مقابل آن می</w:t>
      </w:r>
      <w:r>
        <w:rPr>
          <w:rFonts w:cs="Abz-2 (Badr)" w:hint="cs"/>
          <w:color w:val="000000" w:themeColor="text1"/>
          <w:sz w:val="28"/>
          <w:szCs w:val="28"/>
          <w:rtl/>
        </w:rPr>
        <w:softHyphen/>
        <w:t>باشد</w:t>
      </w:r>
      <w:r>
        <w:rPr>
          <w:rFonts w:cs="Abz-2 (Badr)" w:hint="cs"/>
          <w:color w:val="000000" w:themeColor="text1"/>
          <w:sz w:val="28"/>
          <w:szCs w:val="28"/>
          <w:rtl/>
          <w:lang w:bidi="ar"/>
        </w:rPr>
        <w:t>.</w:t>
      </w:r>
    </w:p>
    <w:bookmarkEnd w:id="2"/>
    <w:p w14:paraId="6A58DC3B" w14:textId="77777777" w:rsidR="0063552D" w:rsidRDefault="0063552D" w:rsidP="0063552D">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آيا به مجرد امتناع زوجه از هر نحو تمکينی نشوز حاصل می</w:t>
      </w:r>
      <w:r>
        <w:rPr>
          <w:rFonts w:cs="Abz-2 (Badr)" w:hint="cs"/>
          <w:color w:val="000000" w:themeColor="text1"/>
          <w:sz w:val="28"/>
          <w:szCs w:val="28"/>
          <w:rtl/>
          <w:lang w:bidi="ar"/>
        </w:rPr>
        <w:softHyphen/>
        <w:t>شود؟</w:t>
      </w:r>
    </w:p>
    <w:p w14:paraId="6E05B758" w14:textId="77777777" w:rsidR="0063552D" w:rsidRDefault="0063552D" w:rsidP="0063552D">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علامه در قواعد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«إنّما تجب النفقة بالعقد الدائم مع التمكين التامّ‌، ولا تجب بالمتعة، ولا لغير الممكّنة من نفسها كلّ‌ وقت في أيّ‌ موضع أراد؛ فلو مكّنت قبلاً ومنعت غيره سقطت نفقتها. وكذا لو مكّنته ليلاً أو نهاراً أو في مكان دون آخر ممّا يجوز فيه الاستمتاع.»</w:t>
      </w:r>
      <w:r>
        <w:rPr>
          <w:rStyle w:val="FootnoteReference"/>
          <w:rFonts w:cs="Abz-2 (Badr)"/>
          <w:color w:val="000000" w:themeColor="text1"/>
          <w:spacing w:val="-6"/>
          <w:sz w:val="28"/>
          <w:szCs w:val="28"/>
          <w:rtl/>
          <w:lang w:bidi="ar"/>
        </w:rPr>
        <w:footnoteReference w:id="1"/>
      </w:r>
    </w:p>
    <w:p w14:paraId="6C57AB18" w14:textId="77777777" w:rsidR="0063552D" w:rsidRDefault="0063552D" w:rsidP="0063552D">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 xml:space="preserve">شهيد ثانی نيز فرموده است: </w:t>
      </w:r>
      <w:r>
        <w:rPr>
          <w:rFonts w:cs="Abz-2 (Badr)" w:hint="cs"/>
          <w:color w:val="0070C0"/>
          <w:sz w:val="28"/>
          <w:szCs w:val="28"/>
          <w:rtl/>
          <w:lang w:bidi="ar"/>
        </w:rPr>
        <w:t xml:space="preserve">«المراد تخلية الزوجة بين نفسها وبين الزوج بحيث لا تخصّ‌ بالتخلية موضعاً ـ كبيتها وبلدها </w:t>
      </w:r>
      <w:r>
        <w:rPr>
          <w:rFonts w:cs="Abz-2 (Badr)" w:hint="cs"/>
          <w:color w:val="0070C0"/>
          <w:sz w:val="28"/>
          <w:szCs w:val="28"/>
          <w:rtl/>
          <w:lang w:bidi="ar"/>
        </w:rPr>
        <w:lastRenderedPageBreak/>
        <w:t>ـ دون آخر، بل في كلّ‌ مكان أراده الزوج ممّا يصلح للاستمتاع بحسب حالها، وكذلك الزمان. ويمكن أن يريد بالمكان ما يعمّ‌ البدن كالقبل وغيره ممّا يسوغ فيه الاستمتاع. وكلاهما معتبر في التمكين وإن كان الأوّل أظهر في المراد.»</w:t>
      </w:r>
      <w:r>
        <w:rPr>
          <w:rStyle w:val="FootnoteReference"/>
          <w:rFonts w:cs="Abz-2 (Badr)"/>
          <w:color w:val="000000" w:themeColor="text1"/>
          <w:spacing w:val="-6"/>
          <w:sz w:val="28"/>
          <w:szCs w:val="28"/>
          <w:rtl/>
          <w:lang w:bidi="ar"/>
        </w:rPr>
        <w:footnoteReference w:id="2"/>
      </w:r>
    </w:p>
    <w:p w14:paraId="7A4BA8EF" w14:textId="77777777" w:rsidR="0063552D" w:rsidRDefault="0063552D" w:rsidP="0063552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نشوز امری عرفی است و برای تحقق آن، مسمای امتناع از تسليم نفس ولو برای مدتی کوتاه کفايت نمی</w:t>
      </w:r>
      <w:r>
        <w:rPr>
          <w:rFonts w:cs="Abz-2 (Badr)" w:hint="cs"/>
          <w:color w:val="000000" w:themeColor="text1"/>
          <w:sz w:val="28"/>
          <w:szCs w:val="28"/>
          <w:rtl/>
          <w:lang w:bidi="fa-IR"/>
        </w:rPr>
        <w:softHyphen/>
        <w:t>کند؛ مثلاً چنانچه زوجه از روی ناراحتی و عصبانيت از تسليم خود به زوج امتناع ورزيد ولی پس از گذشت زمانی کوتاه، خود را به وی تسليم نمود، نمی</w:t>
      </w:r>
      <w:r>
        <w:rPr>
          <w:rFonts w:cs="Abz-2 (Badr)" w:hint="cs"/>
          <w:color w:val="000000" w:themeColor="text1"/>
          <w:sz w:val="28"/>
          <w:szCs w:val="28"/>
          <w:rtl/>
          <w:lang w:bidi="fa-IR"/>
        </w:rPr>
        <w:softHyphen/>
        <w:t>توان ادعای تحقق نشوز را نمود، بلکه تحقق آن عرفاً منوط بر استمرار اين عمل برای مدتی دارد که عرف آن را مستلزم تحقق نشوز بداند، هرچند مجرد امتناع از تسليم نفس به زوج برای زوجه دارای حرمت است.</w:t>
      </w:r>
    </w:p>
    <w:p w14:paraId="439CC459" w14:textId="77777777" w:rsidR="0063552D" w:rsidRDefault="0063552D" w:rsidP="0063552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همچنان که اگر زوجه در خصوص جميع موارد استمتاع زوج تمکين داشته باشد و فقط به جهاتی از يکی از امور فرعی و جزئی که توسط زوج در حين استمتاع طلب شده است، امتناع بورزد، عرف زن را در اين حالت ناشز نمی</w:t>
      </w:r>
      <w:r>
        <w:rPr>
          <w:rFonts w:cs="Abz-2 (Badr)" w:hint="cs"/>
          <w:color w:val="000000" w:themeColor="text1"/>
          <w:sz w:val="28"/>
          <w:szCs w:val="28"/>
          <w:rtl/>
          <w:lang w:bidi="fa-IR"/>
        </w:rPr>
        <w:softHyphen/>
        <w:t>داند و حکم به سقوط نفقه وی به اين خاطر، قابل التزام نيست.</w:t>
      </w:r>
    </w:p>
    <w:p w14:paraId="702556FB"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مگر اين که گفته شود: رابطه تمکين و نشوز، رابطه ضدين لا ثالث است و در زمانی که زوجه از تسليم خود به زوج امتناع می</w:t>
      </w:r>
      <w:r>
        <w:rPr>
          <w:rFonts w:cs="Abz-2 (Badr)" w:hint="cs"/>
          <w:color w:val="000000" w:themeColor="text1"/>
          <w:sz w:val="28"/>
          <w:szCs w:val="28"/>
          <w:rtl/>
          <w:lang w:bidi="fa-IR"/>
        </w:rPr>
        <w:softHyphen/>
        <w:t>ورزد، قطعاً صدق نمی</w:t>
      </w:r>
      <w:r>
        <w:rPr>
          <w:rFonts w:cs="Abz-2 (Badr)" w:hint="cs"/>
          <w:color w:val="000000" w:themeColor="text1"/>
          <w:sz w:val="28"/>
          <w:szCs w:val="28"/>
          <w:rtl/>
          <w:lang w:bidi="fa-IR"/>
        </w:rPr>
        <w:softHyphen/>
        <w:t>کند که تمکين کرده است، پس به ناچار بايد ناشز باشد.</w:t>
      </w:r>
    </w:p>
    <w:p w14:paraId="6386D46A"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bookmarkStart w:id="3" w:name="_Hlk210056788"/>
      <w:r>
        <w:rPr>
          <w:rFonts w:cs="Abz-2 (Badr)" w:hint="cs"/>
          <w:color w:val="000000" w:themeColor="text1"/>
          <w:sz w:val="28"/>
          <w:szCs w:val="28"/>
          <w:rtl/>
          <w:lang w:bidi="fa-IR"/>
        </w:rPr>
        <w:t>اما بر فرض تسليم به اين مطلب نيز دليلی که تحقّق مسمای نشوز را سبب سقوط نفقه زوجه بداند، در اختيار نيست، بلکه آنچه که در معتبره سکونی آمده است، سقوط نفقه زوجه به واسطه خروج وی از خانه زوج بدون اذن است، و معلوم است که خروج از خانه سبب می</w:t>
      </w:r>
      <w:r>
        <w:rPr>
          <w:rFonts w:cs="Abz-2 (Badr)" w:hint="cs"/>
          <w:color w:val="000000" w:themeColor="text1"/>
          <w:sz w:val="28"/>
          <w:szCs w:val="28"/>
          <w:rtl/>
          <w:lang w:bidi="fa-IR"/>
        </w:rPr>
        <w:softHyphen/>
        <w:t>شود که زوج امکان هيچ گونه استمتاعی را نداشته باشد.</w:t>
      </w:r>
    </w:p>
    <w:p w14:paraId="468FE2D0"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يا بايد گفت که در مواردی که سابقاً گذشت، نفقه زوجه ساقط نيست، و يا اين که چه بسا گفته شود: اگر نشوز زوجه به نحوی است که زوج به هيچ وجهی امکان استمتاع را ندارد، نفقه وی به طور کامل ساقط است، اما اگر به اين نحو نيست و زوجه از برخی از استمتاعات زوج منع کرده است، نفقه وی نيز به نسبت به همان مقدار ساقط می</w:t>
      </w:r>
      <w:r>
        <w:rPr>
          <w:rFonts w:cs="Abz-2 (Badr)" w:hint="cs"/>
          <w:color w:val="000000" w:themeColor="text1"/>
          <w:sz w:val="28"/>
          <w:szCs w:val="28"/>
          <w:rtl/>
          <w:lang w:bidi="fa-IR"/>
        </w:rPr>
        <w:softHyphen/>
        <w:t>گردد.</w:t>
      </w:r>
    </w:p>
    <w:p w14:paraId="18FD2C84" w14:textId="77777777" w:rsidR="0063552D" w:rsidRDefault="0063552D" w:rsidP="0063552D">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 xml:space="preserve">فلذا صاحب جواهر در اين خصوص فرموده است: </w:t>
      </w:r>
      <w:r>
        <w:rPr>
          <w:rFonts w:cs="Abz-2 (Badr)" w:hint="cs"/>
          <w:color w:val="0070C0"/>
          <w:sz w:val="28"/>
          <w:szCs w:val="28"/>
          <w:rtl/>
          <w:lang w:bidi="fa-IR"/>
        </w:rPr>
        <w:t>«قد تقدّم قوّة سقوط نفقتها أجمع بذلك، واحتمال التبعيض وعدم السقوط.»</w:t>
      </w:r>
      <w:r>
        <w:rPr>
          <w:rStyle w:val="FootnoteReference"/>
          <w:rFonts w:cs="Abz-2 (Badr)"/>
          <w:color w:val="000000" w:themeColor="text1"/>
          <w:spacing w:val="-6"/>
          <w:sz w:val="28"/>
          <w:szCs w:val="28"/>
          <w:rtl/>
          <w:lang w:bidi="ar"/>
        </w:rPr>
        <w:footnoteReference w:id="3"/>
      </w:r>
    </w:p>
    <w:p w14:paraId="43A18D75" w14:textId="77777777" w:rsidR="0063552D" w:rsidRDefault="0063552D" w:rsidP="0063552D">
      <w:pPr>
        <w:widowControl w:val="0"/>
        <w:bidi/>
        <w:spacing w:after="0" w:line="252" w:lineRule="auto"/>
        <w:ind w:firstLine="284"/>
        <w:jc w:val="both"/>
        <w:rPr>
          <w:rFonts w:cs="Times New Roman" w:hint="cs"/>
          <w:color w:val="000000" w:themeColor="text1"/>
          <w:sz w:val="28"/>
          <w:szCs w:val="28"/>
          <w:rtl/>
          <w:lang w:bidi="fa-IR"/>
        </w:rPr>
      </w:pPr>
      <w:r>
        <w:rPr>
          <w:rFonts w:cs="Abz-2 (Badr)" w:hint="cs"/>
          <w:color w:val="000000" w:themeColor="text1"/>
          <w:sz w:val="28"/>
          <w:szCs w:val="28"/>
          <w:rtl/>
          <w:lang w:bidi="fa-IR"/>
        </w:rPr>
        <w:t>و در هر حال مسأله محل تأمل است.</w:t>
      </w:r>
    </w:p>
    <w:p w14:paraId="27BCA29D" w14:textId="77777777" w:rsidR="0063552D" w:rsidRDefault="0063552D" w:rsidP="0063552D">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مسأله بعد اين است که آيا برای صدق تمکين لازم است که زوجه آمادگی خود برای آن را بر زبان جاری سازد؟</w:t>
      </w:r>
    </w:p>
    <w:p w14:paraId="0AB72419" w14:textId="77777777" w:rsidR="0063552D" w:rsidRDefault="0063552D" w:rsidP="0063552D">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علامه در تحرير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إن كانا بالغين ومكّنت بأن تقول: «قد سلّمت نفسي إليك في أيّ‌ مكان شئت»، وجبت لها النفقة.»</w:t>
      </w:r>
      <w:r>
        <w:rPr>
          <w:rStyle w:val="FootnoteReference"/>
          <w:rFonts w:cs="Abz-2 (Badr)"/>
          <w:color w:val="000000" w:themeColor="text1"/>
          <w:spacing w:val="-6"/>
          <w:sz w:val="28"/>
          <w:szCs w:val="28"/>
          <w:rtl/>
          <w:lang w:bidi="ar"/>
        </w:rPr>
        <w:footnoteReference w:id="4"/>
      </w:r>
    </w:p>
    <w:p w14:paraId="2EF09C5D" w14:textId="77777777" w:rsidR="0063552D" w:rsidRDefault="0063552D" w:rsidP="0063552D">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 xml:space="preserve">و کاشف اللثام در توجيه آن فرموده است: </w:t>
      </w:r>
      <w:r>
        <w:rPr>
          <w:rFonts w:cs="Abz-2 (Badr)" w:hint="cs"/>
          <w:color w:val="0070C0"/>
          <w:sz w:val="28"/>
          <w:szCs w:val="28"/>
          <w:rtl/>
          <w:lang w:bidi="ar"/>
        </w:rPr>
        <w:t>«إذ لا يتحقّق بدونه، إلاّ أن يكتفی بالتمكين مرّة مع الوثوق بالاستمرار عليه، أو بالوثوق وإن لم يحصل التمكين وإن بعد الفرض.»</w:t>
      </w:r>
      <w:r>
        <w:rPr>
          <w:rStyle w:val="FootnoteReference"/>
          <w:rFonts w:cs="Abz-2 (Badr)"/>
          <w:color w:val="000000" w:themeColor="text1"/>
          <w:spacing w:val="-6"/>
          <w:sz w:val="28"/>
          <w:szCs w:val="28"/>
          <w:rtl/>
          <w:lang w:bidi="ar"/>
        </w:rPr>
        <w:footnoteReference w:id="5"/>
      </w:r>
    </w:p>
    <w:p w14:paraId="5FAB67FC"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ولی شهيد ثان</w:t>
      </w:r>
      <w:bookmarkEnd w:id="3"/>
      <w:r>
        <w:rPr>
          <w:rFonts w:cs="Abz-2 (Badr)" w:hint="cs"/>
          <w:color w:val="000000" w:themeColor="text1"/>
          <w:sz w:val="28"/>
          <w:szCs w:val="28"/>
          <w:rtl/>
          <w:lang w:bidi="fa-IR"/>
        </w:rPr>
        <w:t>ی و صاحب جواهر بر اين مطلب اشکال گرفته</w:t>
      </w:r>
      <w:r>
        <w:rPr>
          <w:rFonts w:cs="Abz-2 (Badr)" w:hint="cs"/>
          <w:color w:val="000000" w:themeColor="text1"/>
          <w:sz w:val="28"/>
          <w:szCs w:val="28"/>
          <w:rtl/>
          <w:lang w:bidi="fa-IR"/>
        </w:rPr>
        <w:softHyphen/>
        <w:t>اند و مدعای ايشان را جلسه آينده مطرح خواهيم کرد ان شاء الله.</w:t>
      </w:r>
    </w:p>
    <w:p w14:paraId="4DC12455" w14:textId="77777777" w:rsidR="0063552D" w:rsidRDefault="0063552D" w:rsidP="0063552D">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059BBF67"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قلنا في الجلسة السابقة إنّ النشوز مانع من استحقاق الزوجة للنفقة وذكرنا الدليل على ذلك</w:t>
      </w:r>
      <w:r>
        <w:rPr>
          <w:rFonts w:cs="Abz-2 (Badr)" w:hint="cs"/>
          <w:color w:val="000000" w:themeColor="text1"/>
          <w:sz w:val="28"/>
          <w:szCs w:val="28"/>
          <w:rtl/>
          <w:lang w:bidi="fa-IR"/>
        </w:rPr>
        <w:t>.</w:t>
      </w:r>
    </w:p>
    <w:p w14:paraId="430A82D2"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غير أنّه قد يستدلّ لإثبات هذا الحكم بكون حقوق الزوجين متقابلة؛ بمعنى أنّ حقّ كلّ واحد منهما على الآخر في مقابل الحقّ الذي لذلك الآخر عليه. وبناءً على ذلك فإذا امتنع أحدهما من أداء حقّ صاحبه، جاز للآخر أيضاً الامتناع عن أداء حقّه.</w:t>
      </w:r>
    </w:p>
    <w:p w14:paraId="0549992B"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إلّا أنّه قد مرّ سابقاً وفي مبحث جواز امتناع الزوجة عن التمكين الخاصّ مادامت لم تستوفِ مهرها كاملاً أنّ الاستناد إلى هذا الوجه لإثبات جواز الامتناع عن أداء الحقّ غير سليم؛ لأنّ للزوجين حقوقاً متعدّدة على بعضهما، ولا يوجد معيار واضح يحدّد أيّ حقّ منها يقابل أيّ حقّ للطرف الآخر بحيث يمكن الحكم بمقتضاه أنّه إذا امتنع أحدهما من أداء حقّ، جاز للآخر الامتناع عن أداء الحقّ المقابل له.</w:t>
      </w:r>
    </w:p>
    <w:p w14:paraId="7385C928" w14:textId="77777777" w:rsidR="0063552D" w:rsidRDefault="0063552D" w:rsidP="0063552D">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ثمّ إنّه هل يتحقّق النشوز بمجرّد امتناع الزوجة عن أيّ نوع من التمكين؟</w:t>
      </w:r>
    </w:p>
    <w:p w14:paraId="6E82E8C2" w14:textId="77777777" w:rsidR="0063552D" w:rsidRDefault="0063552D" w:rsidP="0063552D">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قال العلّامة في القواعد</w:t>
      </w:r>
      <w:r>
        <w:rPr>
          <w:rFonts w:cs="Abz-2 (Badr)" w:hint="cs"/>
          <w:color w:val="000000" w:themeColor="text1"/>
          <w:sz w:val="28"/>
          <w:szCs w:val="28"/>
          <w:rtl/>
          <w:lang w:bidi="ar"/>
        </w:rPr>
        <w:t xml:space="preserve">: </w:t>
      </w:r>
      <w:r>
        <w:rPr>
          <w:rFonts w:cs="Abz-2 (Badr)" w:hint="cs"/>
          <w:color w:val="0070C0"/>
          <w:sz w:val="28"/>
          <w:szCs w:val="28"/>
          <w:rtl/>
          <w:lang w:bidi="ar"/>
        </w:rPr>
        <w:t>«إنّما تجب النفقة بالعقد الدائم مع التمكين التامّ‌، ولا تجب بالمتعة، ولا لغير الممكّنة من نفسها كلّ‌ وقت في أيّ‌ موضع أراد؛ فلو مكّنت قبلاً ومنعت غيره سقطت نفقتها. وكذا لو مكّنته ليلاً أو نهاراً أو في مكان دون آخر ممّا يجوز فيه الاستمتاع.»</w:t>
      </w:r>
      <w:r>
        <w:rPr>
          <w:rStyle w:val="FootnoteReference"/>
          <w:rFonts w:cs="Abz-2 (Badr)"/>
          <w:color w:val="000000" w:themeColor="text1"/>
          <w:spacing w:val="-6"/>
          <w:sz w:val="28"/>
          <w:szCs w:val="28"/>
          <w:rtl/>
          <w:lang w:bidi="ar"/>
        </w:rPr>
        <w:footnoteReference w:id="6"/>
      </w:r>
    </w:p>
    <w:p w14:paraId="2F28439A" w14:textId="77777777" w:rsidR="0063552D" w:rsidRDefault="0063552D" w:rsidP="0063552D">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 xml:space="preserve">وقال الشهيد الثاني: </w:t>
      </w:r>
      <w:r>
        <w:rPr>
          <w:rFonts w:cs="Abz-2 (Badr)" w:hint="cs"/>
          <w:color w:val="0070C0"/>
          <w:sz w:val="28"/>
          <w:szCs w:val="28"/>
          <w:rtl/>
          <w:lang w:bidi="ar"/>
        </w:rPr>
        <w:t>«المراد تخلية الزوجة بين نفسها وبين الزوج بحيث لا تخصّ‌ بالتخلية موضعاً ـ كبيتها وبلدها ـ دون آخر، بل في كلّ‌ مكان أراده الزوج ممّا يصلح للاستمتاع بحسب حالها، وكذلك الزمان. ويمكن أن يريد بالمكان ما يعمّ‌ البدن كالقبل وغيره ممّا يسوغ فيه الاستمتاع. وكلاهما معتبر في التمكين وإن كان الأوّل أظهر في المراد.»</w:t>
      </w:r>
      <w:r>
        <w:rPr>
          <w:rStyle w:val="FootnoteReference"/>
          <w:rFonts w:cs="Abz-2 (Badr)"/>
          <w:color w:val="000000" w:themeColor="text1"/>
          <w:spacing w:val="-6"/>
          <w:sz w:val="28"/>
          <w:szCs w:val="28"/>
          <w:rtl/>
          <w:lang w:bidi="ar"/>
        </w:rPr>
        <w:footnoteReference w:id="7"/>
      </w:r>
    </w:p>
    <w:p w14:paraId="36B63ECA"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 xml:space="preserve">أقول: إنّ النشوز أمر عرفيّ، ولا يكفي لتحقّقه مجرّد الامتناع عن تسليم النفس ولو مدّة يسيرة؛ فمثلاً لو امتنعت الزوجة ـ من شدّة الغضب والانزعاج ـ عن تسليم نفسها للزوج ثمّ بعد مدّة قصيرة سلّمت نفسها له، لا يمكن ادّعاء تحقّق النشوز، بل تحقّقه عرفاً موقوف على استمرار هذا الفعل مدّة يراها العرف موجبة لصدق النشوز، وإن كان مجرّد الامتناع عن تسليم </w:t>
      </w:r>
      <w:r>
        <w:rPr>
          <w:rFonts w:cs="Abz-2 (Badr)" w:hint="cs"/>
          <w:color w:val="000000" w:themeColor="text1"/>
          <w:sz w:val="28"/>
          <w:szCs w:val="28"/>
          <w:rtl/>
        </w:rPr>
        <w:lastRenderedPageBreak/>
        <w:t>النفس للزوج محرّماً على الزوجة.</w:t>
      </w:r>
    </w:p>
    <w:p w14:paraId="0893AF0B"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وكذلك لو أنّ الزوجة مكّنت الزوج في جميع أنحاء الاستمتاع غير أنّها امتنعت عن بعض الأُمور الفرعيّة والجزئيّة التي طلبها الزوج حال الاستمتاع، فإنّ العرف لا يعدّها ناشزة في هذه الصورة، والحكم بسقوط نفقتها لأجل ذلك غير قابل للالتزام.</w:t>
      </w:r>
    </w:p>
    <w:p w14:paraId="24AEDC70"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اللهمّ إلّا أن يقال: إنّ العلاقة بين التمكين والنشوز هي علاقة الضدّين لا ثالث لهما، فإذا امتنعت الزوجة عن تسليم نفسها للزوج لم يصدق أنّها مكّنت، فلا محالة تُعدّ ناشزة.</w:t>
      </w:r>
    </w:p>
    <w:p w14:paraId="634B8B4E"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لكن على فرض التسليم بذلك، لا دليل بأيدينا يثبت أنّ مجرّد تحقّق مسمّى النشوز سبب في سقوط نفقة الزوجة، بل الوارد في معتبرة السكوني أنّ نفقة الزوجة تسقط بخروجها من بيت زوجها بغير إذنه، ومن الواضح أنّ الخروج يمنع الزوج من أيّ نوع من الاستمتاع</w:t>
      </w:r>
      <w:r>
        <w:rPr>
          <w:rFonts w:cs="Abz-2 (Badr)" w:hint="cs"/>
          <w:color w:val="000000" w:themeColor="text1"/>
          <w:sz w:val="28"/>
          <w:szCs w:val="28"/>
          <w:rtl/>
          <w:lang w:bidi="fa-IR"/>
        </w:rPr>
        <w:t>.</w:t>
      </w:r>
    </w:p>
    <w:p w14:paraId="642C0846"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وعليه فإمّا أن يلتزم بعدم سقوط نفقة الزوجة في الموارد المتقدّمة، وإمّا أن يقال: إذا كان نشوز الزوجة بحيث يسلب الزوج إمکان جميع الاستمتاعات، سقطت نفقتها بالمرّة، وأمّا إذا لم يكن كذلك بل منعت الزوج من بعض الاستمتاعات، فإنّ نفقتها تسقط بنسبة ذلك المقدار فقط.</w:t>
      </w:r>
    </w:p>
    <w:p w14:paraId="08465693" w14:textId="77777777" w:rsidR="0063552D" w:rsidRDefault="0063552D" w:rsidP="0063552D">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فلذا قال صاحب الجواهر في هذا الخصوص: </w:t>
      </w:r>
      <w:r>
        <w:rPr>
          <w:rFonts w:cs="Abz-2 (Badr)" w:hint="cs"/>
          <w:color w:val="0070C0"/>
          <w:sz w:val="28"/>
          <w:szCs w:val="28"/>
          <w:rtl/>
          <w:lang w:bidi="fa-IR"/>
        </w:rPr>
        <w:t>«قد تقدّم قوّة سقوط نفقتها أجمع بذلك، واحتمال التبعيض وعدم السقوط.»</w:t>
      </w:r>
      <w:r>
        <w:rPr>
          <w:rStyle w:val="FootnoteReference"/>
          <w:rFonts w:cs="Abz-2 (Badr)"/>
          <w:color w:val="000000" w:themeColor="text1"/>
          <w:spacing w:val="-6"/>
          <w:sz w:val="28"/>
          <w:szCs w:val="28"/>
          <w:rtl/>
          <w:lang w:bidi="ar"/>
        </w:rPr>
        <w:footnoteReference w:id="8"/>
      </w:r>
    </w:p>
    <w:p w14:paraId="0D740385"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والمسألة محلّ تأمّل علی کلّ حال.</w:t>
      </w:r>
    </w:p>
    <w:p w14:paraId="36B7CF0C" w14:textId="77777777" w:rsidR="0063552D" w:rsidRDefault="0063552D" w:rsidP="0063552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وأمّا المسألة اللاحقة فهي أنّه هل يشترط لصدق التمكين أن تظهر الزوجة استعدادها له بلسانها؟</w:t>
      </w:r>
    </w:p>
    <w:p w14:paraId="448ECF02" w14:textId="77777777" w:rsidR="0063552D" w:rsidRDefault="0063552D" w:rsidP="0063552D">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rPr>
        <w:t>قال العلامة في التحرير</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إن كانا بالغين ومكّنت بأن تقول: «قد سلّمت نفسي إليك في أيّ‌ مكان شئت»، وجبت لها النفقة.»</w:t>
      </w:r>
      <w:r>
        <w:rPr>
          <w:rStyle w:val="FootnoteReference"/>
          <w:rFonts w:cs="Abz-2 (Badr)"/>
          <w:color w:val="000000" w:themeColor="text1"/>
          <w:spacing w:val="-6"/>
          <w:sz w:val="28"/>
          <w:szCs w:val="28"/>
          <w:rtl/>
          <w:lang w:bidi="ar"/>
        </w:rPr>
        <w:footnoteReference w:id="9"/>
      </w:r>
    </w:p>
    <w:p w14:paraId="35A85CCA" w14:textId="77777777" w:rsidR="0063552D" w:rsidRDefault="0063552D" w:rsidP="0063552D">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وقال کاشف اللثام في توجيه ذل</w:t>
      </w:r>
      <w:r>
        <w:rPr>
          <w:rFonts w:cs="Abz-2 (Badr)" w:hint="cs"/>
          <w:color w:val="000000" w:themeColor="text1"/>
          <w:sz w:val="28"/>
          <w:szCs w:val="28"/>
          <w:rtl/>
        </w:rPr>
        <w:t>ك:</w:t>
      </w:r>
      <w:r>
        <w:rPr>
          <w:rFonts w:cs="Abz-2 (Badr)" w:hint="cs"/>
          <w:color w:val="000000" w:themeColor="text1"/>
          <w:sz w:val="28"/>
          <w:szCs w:val="28"/>
          <w:rtl/>
          <w:lang w:bidi="ar"/>
        </w:rPr>
        <w:t xml:space="preserve"> </w:t>
      </w:r>
      <w:r>
        <w:rPr>
          <w:rFonts w:cs="Abz-2 (Badr)" w:hint="cs"/>
          <w:color w:val="0070C0"/>
          <w:sz w:val="28"/>
          <w:szCs w:val="28"/>
          <w:rtl/>
          <w:lang w:bidi="ar"/>
        </w:rPr>
        <w:t xml:space="preserve">«إذ لا يتحقّق بدونه، إلاّ أن يكتفی بالتمكين مرّة مع الوثوق بالاستمرار عليه، أو </w:t>
      </w:r>
      <w:r>
        <w:rPr>
          <w:rFonts w:cs="Abz-2 (Badr)" w:hint="cs"/>
          <w:color w:val="0070C0"/>
          <w:sz w:val="28"/>
          <w:szCs w:val="28"/>
          <w:rtl/>
          <w:lang w:bidi="ar"/>
        </w:rPr>
        <w:lastRenderedPageBreak/>
        <w:t>بالوثوق وإن لم يحصل التمكين وإن بعد الفرض.»</w:t>
      </w:r>
      <w:r>
        <w:rPr>
          <w:rStyle w:val="FootnoteReference"/>
          <w:rFonts w:cs="Abz-2 (Badr)"/>
          <w:color w:val="000000" w:themeColor="text1"/>
          <w:spacing w:val="-6"/>
          <w:sz w:val="28"/>
          <w:szCs w:val="28"/>
          <w:rtl/>
          <w:lang w:bidi="ar"/>
        </w:rPr>
        <w:footnoteReference w:id="10"/>
      </w:r>
    </w:p>
    <w:p w14:paraId="16FC7BCA" w14:textId="77777777" w:rsidR="0063552D" w:rsidRDefault="0063552D" w:rsidP="0063552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غير أنّ الشهيد الثاني وصاحب الجواهر قد أشكلا على هذا المطلب وسنذكر مدّعاهما في الجلسة الآتية إن شاء الله تعالى.</w:t>
      </w:r>
      <w:bookmarkEnd w:id="1"/>
    </w:p>
    <w:p w14:paraId="2AD04477" w14:textId="7D63A4A4" w:rsidR="00B706A3" w:rsidRPr="0063552D" w:rsidRDefault="00B706A3" w:rsidP="0063552D">
      <w:pPr>
        <w:rPr>
          <w:rtl/>
        </w:rPr>
      </w:pPr>
    </w:p>
    <w:sectPr w:rsidR="00B706A3" w:rsidRPr="0063552D"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DEF6D" w14:textId="77777777" w:rsidR="00FA6CAB" w:rsidRDefault="00FA6CAB" w:rsidP="00F71127">
      <w:pPr>
        <w:spacing w:after="0" w:line="240" w:lineRule="auto"/>
      </w:pPr>
      <w:r>
        <w:separator/>
      </w:r>
    </w:p>
  </w:endnote>
  <w:endnote w:type="continuationSeparator" w:id="0">
    <w:p w14:paraId="74542A03" w14:textId="77777777" w:rsidR="00FA6CAB" w:rsidRDefault="00FA6CA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49C1" w14:textId="77777777" w:rsidR="00C64E5C" w:rsidRDefault="00C64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24F3" w14:textId="77777777" w:rsidR="00C64E5C" w:rsidRDefault="00C64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47074" w14:textId="77777777" w:rsidR="00FA6CAB" w:rsidRDefault="00FA6CAB" w:rsidP="00EE25C0">
      <w:pPr>
        <w:bidi/>
        <w:spacing w:after="0" w:line="240" w:lineRule="auto"/>
      </w:pPr>
      <w:r>
        <w:separator/>
      </w:r>
    </w:p>
  </w:footnote>
  <w:footnote w:type="continuationSeparator" w:id="0">
    <w:p w14:paraId="59AF76B9" w14:textId="77777777" w:rsidR="00FA6CAB" w:rsidRDefault="00FA6CAB" w:rsidP="00F71127">
      <w:pPr>
        <w:bidi/>
        <w:spacing w:after="0" w:line="240" w:lineRule="auto"/>
      </w:pPr>
      <w:r>
        <w:continuationSeparator/>
      </w:r>
    </w:p>
  </w:footnote>
  <w:footnote w:id="1">
    <w:p w14:paraId="6F25B604"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قواعد الأحکام،ج3،ص103.</w:t>
      </w:r>
    </w:p>
  </w:footnote>
  <w:footnote w:id="2">
    <w:p w14:paraId="14C4BC27"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مسالك </w:t>
      </w:r>
      <w:r>
        <w:rPr>
          <w:rFonts w:cs="Abz-2 (Badr)" w:hint="cs"/>
          <w:rtl/>
          <w:lang w:bidi="fa-IR"/>
        </w:rPr>
        <w:t>الأفهام</w:t>
      </w:r>
      <w:r>
        <w:rPr>
          <w:rFonts w:cs="Abz-2 (Badr)" w:hint="cs"/>
          <w:rtl/>
        </w:rPr>
        <w:t>،ج8،ص439 و 440.</w:t>
      </w:r>
    </w:p>
  </w:footnote>
  <w:footnote w:id="3">
    <w:p w14:paraId="5A72F204"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الکلام،ج31،ص303.</w:t>
      </w:r>
    </w:p>
  </w:footnote>
  <w:footnote w:id="4">
    <w:p w14:paraId="06BB7918"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تحرير الأحکام،ج4،ص21.</w:t>
      </w:r>
    </w:p>
  </w:footnote>
  <w:footnote w:id="5">
    <w:p w14:paraId="612147F0"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کشف اللثام،ج7،ص557.</w:t>
      </w:r>
    </w:p>
  </w:footnote>
  <w:footnote w:id="6">
    <w:p w14:paraId="54D1A132"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قواعد الأحکام،ج3،ص103.</w:t>
      </w:r>
    </w:p>
  </w:footnote>
  <w:footnote w:id="7">
    <w:p w14:paraId="0921E14C"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مسالك </w:t>
      </w:r>
      <w:r>
        <w:rPr>
          <w:rFonts w:cs="Abz-2 (Badr)" w:hint="cs"/>
          <w:rtl/>
          <w:lang w:bidi="fa-IR"/>
        </w:rPr>
        <w:t>الأفهام</w:t>
      </w:r>
      <w:r>
        <w:rPr>
          <w:rFonts w:cs="Abz-2 (Badr)" w:hint="cs"/>
          <w:rtl/>
        </w:rPr>
        <w:t>،ج8،ص439 و 440.</w:t>
      </w:r>
    </w:p>
  </w:footnote>
  <w:footnote w:id="8">
    <w:p w14:paraId="73CCC3D3"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الکلام،ج31،ص303.</w:t>
      </w:r>
    </w:p>
  </w:footnote>
  <w:footnote w:id="9">
    <w:p w14:paraId="11815DBB"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تحرير الأحکام،ج4،ص21.</w:t>
      </w:r>
    </w:p>
  </w:footnote>
  <w:footnote w:id="10">
    <w:p w14:paraId="2AF58DF3" w14:textId="77777777" w:rsidR="0063552D" w:rsidRDefault="0063552D" w:rsidP="0063552D">
      <w:pPr>
        <w:pStyle w:val="FootnoteText"/>
        <w:bidi/>
        <w:rPr>
          <w:rFonts w:cs="Abz-2 (Badr)" w:hint="cs"/>
          <w:rtl/>
          <w:lang w:bidi="fa-IR"/>
        </w:rPr>
      </w:pPr>
      <w:r>
        <w:rPr>
          <w:rStyle w:val="FootnoteReference"/>
          <w:rFonts w:cs="Abz-2 (Badr)"/>
        </w:rPr>
        <w:footnoteRef/>
      </w:r>
      <w:r>
        <w:rPr>
          <w:rFonts w:cs="Abz-2 (Badr)" w:hint="cs"/>
          <w:rtl/>
        </w:rPr>
        <w:t xml:space="preserve"> ـ کشف اللثام،ج7،ص557.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768E" w14:textId="77777777" w:rsidR="00C64E5C" w:rsidRDefault="00C64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F6290A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63552D">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63552D">
                            <w:rPr>
                              <w:rFonts w:cs="B Mehr" w:hint="cs"/>
                              <w:rtl/>
                              <w:lang w:bidi="fa-IR"/>
                            </w:rPr>
                            <w:t>8</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F6290A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63552D">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63552D">
                      <w:rPr>
                        <w:rFonts w:cs="B Mehr" w:hint="cs"/>
                        <w:rtl/>
                        <w:lang w:bidi="fa-IR"/>
                      </w:rPr>
                      <w:t>8</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6148" w14:textId="77777777" w:rsidR="00C64E5C" w:rsidRDefault="00C6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21724</TotalTime>
  <Pages>1</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606</cp:revision>
  <cp:lastPrinted>2025-04-14T09:12:00Z</cp:lastPrinted>
  <dcterms:created xsi:type="dcterms:W3CDTF">2022-10-16T08:36:00Z</dcterms:created>
  <dcterms:modified xsi:type="dcterms:W3CDTF">2025-09-30T15:40:00Z</dcterms:modified>
</cp:coreProperties>
</file>