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742EC" w14:textId="77777777" w:rsidR="003A098C" w:rsidRPr="00652E92" w:rsidRDefault="003A098C" w:rsidP="003A098C">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7FBF4188" w14:textId="77777777" w:rsidR="003A098C" w:rsidRPr="00652E92" w:rsidRDefault="003A098C" w:rsidP="003A098C">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6741EA87" w14:textId="4B5DAC5D" w:rsidR="003A098C" w:rsidRPr="00652E92" w:rsidRDefault="003A098C" w:rsidP="003A098C">
      <w:pPr>
        <w:widowControl w:val="0"/>
        <w:bidi/>
        <w:spacing w:after="0"/>
        <w:jc w:val="center"/>
        <w:rPr>
          <w:rFonts w:cs="B Mitra" w:hint="cs"/>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82</w:t>
      </w:r>
      <w:r w:rsidR="006C7A51">
        <w:rPr>
          <w:rFonts w:cs="B Mitra" w:hint="cs"/>
          <w:b/>
          <w:bCs/>
          <w:sz w:val="32"/>
          <w:szCs w:val="32"/>
          <w:rtl/>
          <w:lang w:bidi="fa-IR"/>
        </w:rPr>
        <w:t>8</w:t>
      </w:r>
    </w:p>
    <w:p w14:paraId="66CF1B13" w14:textId="77777777" w:rsidR="003A098C" w:rsidRDefault="003A098C" w:rsidP="003A098C">
      <w:pPr>
        <w:widowControl w:val="0"/>
        <w:bidi/>
        <w:spacing w:after="0"/>
        <w:ind w:firstLine="284"/>
        <w:jc w:val="both"/>
        <w:rPr>
          <w:rFonts w:cs="Abz-2 (Badr)"/>
          <w:sz w:val="28"/>
          <w:szCs w:val="28"/>
          <w:rtl/>
          <w:lang w:bidi="fa-IR"/>
        </w:rPr>
      </w:pPr>
      <w:bookmarkStart w:id="0" w:name="_Hlk159096966"/>
    </w:p>
    <w:p w14:paraId="324EA688" w14:textId="77777777" w:rsidR="003A098C" w:rsidRDefault="003A098C" w:rsidP="003A098C">
      <w:pPr>
        <w:pStyle w:val="NormalWeb"/>
        <w:widowControl w:val="0"/>
        <w:bidi/>
        <w:spacing w:before="0" w:beforeAutospacing="0" w:after="0" w:afterAutospacing="0" w:line="252" w:lineRule="auto"/>
        <w:ind w:firstLine="284"/>
        <w:jc w:val="both"/>
        <w:rPr>
          <w:rFonts w:cs="Abz-2 (Badr)"/>
          <w:color w:val="000000" w:themeColor="text1"/>
          <w:sz w:val="28"/>
          <w:szCs w:val="28"/>
          <w:rtl/>
          <w:lang w:bidi="ar"/>
        </w:rPr>
      </w:pPr>
      <w:bookmarkStart w:id="1" w:name="_Hlk198030396"/>
      <w:bookmarkStart w:id="2" w:name="_Hlk197852024"/>
      <w:bookmarkEnd w:id="0"/>
      <w:r>
        <w:rPr>
          <w:rFonts w:cs="Abz-2 (Badr)" w:hint="cs"/>
          <w:color w:val="000000" w:themeColor="text1"/>
          <w:sz w:val="28"/>
          <w:szCs w:val="28"/>
          <w:rtl/>
          <w:lang w:bidi="ar"/>
        </w:rPr>
        <w:t>کلمات شيخ طوسی در خصوص مراتب حضانت را جلسه قبل مطرح کرديم.</w:t>
      </w:r>
    </w:p>
    <w:p w14:paraId="0E578833" w14:textId="77777777" w:rsidR="003A098C" w:rsidRPr="00355C18" w:rsidRDefault="003A098C" w:rsidP="003A098C">
      <w:pPr>
        <w:pStyle w:val="NormalWeb"/>
        <w:widowControl w:val="0"/>
        <w:bidi/>
        <w:spacing w:before="0" w:beforeAutospacing="0" w:after="0" w:afterAutospacing="0" w:line="252" w:lineRule="auto"/>
        <w:ind w:firstLine="284"/>
        <w:jc w:val="both"/>
        <w:rPr>
          <w:rFonts w:cs="Abz-2 (Badr)"/>
          <w:color w:val="0070C0"/>
          <w:sz w:val="28"/>
          <w:szCs w:val="28"/>
          <w:lang w:bidi="ar"/>
        </w:rPr>
      </w:pPr>
      <w:r w:rsidRPr="00355C18">
        <w:rPr>
          <w:rFonts w:cs="Abz-2 (Badr)" w:hint="cs"/>
          <w:color w:val="000000" w:themeColor="text1"/>
          <w:sz w:val="28"/>
          <w:szCs w:val="28"/>
          <w:rtl/>
          <w:lang w:bidi="ar"/>
        </w:rPr>
        <w:t>اما ابن جنيد</w:t>
      </w:r>
      <w:r>
        <w:rPr>
          <w:rFonts w:cs="Abz-2 (Badr)" w:hint="cs"/>
          <w:color w:val="000000" w:themeColor="text1"/>
          <w:sz w:val="28"/>
          <w:szCs w:val="28"/>
          <w:rtl/>
          <w:lang w:bidi="ar"/>
        </w:rPr>
        <w:t xml:space="preserve"> در اين خصوص </w:t>
      </w:r>
      <w:r w:rsidRPr="00355C18">
        <w:rPr>
          <w:rFonts w:cs="Abz-2 (Badr)" w:hint="cs"/>
          <w:color w:val="000000" w:themeColor="text1"/>
          <w:sz w:val="28"/>
          <w:szCs w:val="28"/>
          <w:rtl/>
          <w:lang w:bidi="ar"/>
        </w:rPr>
        <w:t>می</w:t>
      </w:r>
      <w:r w:rsidRPr="00355C18">
        <w:rPr>
          <w:rFonts w:cs="Abz-2 (Badr)"/>
          <w:color w:val="000000" w:themeColor="text1"/>
          <w:sz w:val="28"/>
          <w:szCs w:val="28"/>
          <w:rtl/>
          <w:lang w:bidi="ar"/>
        </w:rPr>
        <w:softHyphen/>
      </w:r>
      <w:r w:rsidRPr="00355C18">
        <w:rPr>
          <w:rFonts w:cs="Abz-2 (Badr)" w:hint="cs"/>
          <w:color w:val="000000" w:themeColor="text1"/>
          <w:sz w:val="28"/>
          <w:szCs w:val="28"/>
          <w:rtl/>
          <w:lang w:bidi="ar"/>
        </w:rPr>
        <w:t xml:space="preserve">گويد: </w:t>
      </w:r>
      <w:r>
        <w:rPr>
          <w:rFonts w:cs="Abz-2 (Badr)" w:hint="cs"/>
          <w:color w:val="0070C0"/>
          <w:sz w:val="28"/>
          <w:szCs w:val="28"/>
          <w:rtl/>
          <w:lang w:bidi="ar"/>
        </w:rPr>
        <w:t>«</w:t>
      </w:r>
      <w:r w:rsidRPr="00355C18">
        <w:rPr>
          <w:rFonts w:cs="Abz-2 (Badr)"/>
          <w:color w:val="0070C0"/>
          <w:sz w:val="28"/>
          <w:szCs w:val="28"/>
          <w:rtl/>
          <w:lang w:bidi="ar"/>
        </w:rPr>
        <w:t>قرابة الأ</w:t>
      </w:r>
      <w:r>
        <w:rPr>
          <w:rFonts w:cs="Abz-2 (Badr)" w:hint="cs"/>
          <w:color w:val="0070C0"/>
          <w:sz w:val="28"/>
          <w:szCs w:val="28"/>
          <w:rtl/>
          <w:lang w:bidi="ar"/>
        </w:rPr>
        <w:t>ُ</w:t>
      </w:r>
      <w:r w:rsidRPr="00355C18">
        <w:rPr>
          <w:rFonts w:cs="Abz-2 (Badr)"/>
          <w:color w:val="0070C0"/>
          <w:sz w:val="28"/>
          <w:szCs w:val="28"/>
          <w:rtl/>
          <w:lang w:bidi="ar"/>
        </w:rPr>
        <w:t>م</w:t>
      </w:r>
      <w:r>
        <w:rPr>
          <w:rFonts w:cs="Abz-2 (Badr)" w:hint="cs"/>
          <w:color w:val="0070C0"/>
          <w:sz w:val="28"/>
          <w:szCs w:val="28"/>
          <w:rtl/>
          <w:lang w:bidi="ar"/>
        </w:rPr>
        <w:t>ّ</w:t>
      </w:r>
      <w:r w:rsidRPr="00355C18">
        <w:rPr>
          <w:rFonts w:cs="Abz-2 (Badr)"/>
          <w:color w:val="0070C0"/>
          <w:sz w:val="28"/>
          <w:szCs w:val="28"/>
          <w:rtl/>
          <w:lang w:bidi="ar"/>
        </w:rPr>
        <w:t xml:space="preserve"> أحقّ‌ بالأ</w:t>
      </w:r>
      <w:r>
        <w:rPr>
          <w:rFonts w:cs="Abz-2 (Badr)" w:hint="cs"/>
          <w:color w:val="0070C0"/>
          <w:sz w:val="28"/>
          <w:szCs w:val="28"/>
          <w:rtl/>
          <w:lang w:bidi="ar"/>
        </w:rPr>
        <w:t>ُ</w:t>
      </w:r>
      <w:r w:rsidRPr="00355C18">
        <w:rPr>
          <w:rFonts w:cs="Abz-2 (Badr)"/>
          <w:color w:val="0070C0"/>
          <w:sz w:val="28"/>
          <w:szCs w:val="28"/>
          <w:rtl/>
          <w:lang w:bidi="ar"/>
        </w:rPr>
        <w:t>نثى من قرابة الأب، لحكم النبي</w:t>
      </w:r>
      <w:r>
        <w:rPr>
          <w:rFonts w:cs="Abz-2 (Badr)" w:hint="cs"/>
          <w:color w:val="0070C0"/>
          <w:sz w:val="28"/>
          <w:szCs w:val="28"/>
          <w:rtl/>
          <w:lang w:bidi="ar"/>
        </w:rPr>
        <w:t>(ص)</w:t>
      </w:r>
      <w:r w:rsidRPr="00355C18">
        <w:rPr>
          <w:rFonts w:cs="Abz-2 (Badr)"/>
          <w:color w:val="0070C0"/>
          <w:sz w:val="28"/>
          <w:szCs w:val="28"/>
          <w:rtl/>
          <w:lang w:bidi="ar"/>
        </w:rPr>
        <w:t xml:space="preserve"> بابنة حمزة لخالتها دون أمير المؤمنين</w:t>
      </w:r>
      <w:r>
        <w:rPr>
          <w:rFonts w:cs="Abz-2 (Badr)" w:hint="cs"/>
          <w:color w:val="0070C0"/>
          <w:sz w:val="28"/>
          <w:szCs w:val="28"/>
          <w:rtl/>
          <w:lang w:bidi="ar"/>
        </w:rPr>
        <w:t>(ع)</w:t>
      </w:r>
      <w:r w:rsidRPr="00355C18">
        <w:rPr>
          <w:rFonts w:cs="Abz-2 (Badr)"/>
          <w:color w:val="0070C0"/>
          <w:sz w:val="28"/>
          <w:szCs w:val="28"/>
          <w:rtl/>
          <w:lang w:bidi="ar"/>
        </w:rPr>
        <w:t xml:space="preserve"> وجعفر وقد طالبا بها</w:t>
      </w:r>
      <w:r>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1"/>
      </w:r>
    </w:p>
    <w:p w14:paraId="4F10C95E" w14:textId="77777777" w:rsidR="003A098C" w:rsidRDefault="003A098C" w:rsidP="003A098C">
      <w:pPr>
        <w:pStyle w:val="NormalWeb"/>
        <w:widowControl w:val="0"/>
        <w:bidi/>
        <w:spacing w:before="0" w:beforeAutospacing="0" w:after="0" w:afterAutospacing="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شيخ مفيد نيز در اين خصوص فرموده است: </w:t>
      </w:r>
      <w:r w:rsidRPr="000B6C1E">
        <w:rPr>
          <w:rFonts w:cs="Abz-2 (Badr)" w:hint="cs"/>
          <w:color w:val="0070C0"/>
          <w:sz w:val="28"/>
          <w:szCs w:val="28"/>
          <w:rtl/>
          <w:lang w:bidi="fa-IR"/>
        </w:rPr>
        <w:t>«</w:t>
      </w:r>
      <w:r w:rsidRPr="000B6C1E">
        <w:rPr>
          <w:rFonts w:cs="Abz-2 (Badr)"/>
          <w:color w:val="0070C0"/>
          <w:sz w:val="28"/>
          <w:szCs w:val="28"/>
          <w:rtl/>
          <w:lang w:bidi="fa-IR"/>
        </w:rPr>
        <w:t>إن مات الأب قامت أ</w:t>
      </w:r>
      <w:r w:rsidRPr="000B6C1E">
        <w:rPr>
          <w:rFonts w:cs="Abz-2 (Badr)" w:hint="cs"/>
          <w:color w:val="0070C0"/>
          <w:sz w:val="28"/>
          <w:szCs w:val="28"/>
          <w:rtl/>
          <w:lang w:bidi="fa-IR"/>
        </w:rPr>
        <w:t>ُ</w:t>
      </w:r>
      <w:r w:rsidRPr="000B6C1E">
        <w:rPr>
          <w:rFonts w:cs="Abz-2 (Badr)"/>
          <w:color w:val="0070C0"/>
          <w:sz w:val="28"/>
          <w:szCs w:val="28"/>
          <w:rtl/>
          <w:lang w:bidi="fa-IR"/>
        </w:rPr>
        <w:t>م</w:t>
      </w:r>
      <w:r w:rsidRPr="000B6C1E">
        <w:rPr>
          <w:rFonts w:cs="Abz-2 (Badr)" w:hint="cs"/>
          <w:color w:val="0070C0"/>
          <w:sz w:val="28"/>
          <w:szCs w:val="28"/>
          <w:rtl/>
          <w:lang w:bidi="fa-IR"/>
        </w:rPr>
        <w:t>ّ</w:t>
      </w:r>
      <w:r w:rsidRPr="000B6C1E">
        <w:rPr>
          <w:rFonts w:cs="Abz-2 (Badr)"/>
          <w:color w:val="0070C0"/>
          <w:sz w:val="28"/>
          <w:szCs w:val="28"/>
          <w:rtl/>
          <w:lang w:bidi="fa-IR"/>
        </w:rPr>
        <w:t>ه مقامه في كفالة الولد</w:t>
      </w:r>
      <w:r w:rsidRPr="000B6C1E">
        <w:rPr>
          <w:rFonts w:cs="Abz-2 (Badr)" w:hint="cs"/>
          <w:color w:val="0070C0"/>
          <w:sz w:val="28"/>
          <w:szCs w:val="28"/>
          <w:rtl/>
          <w:lang w:bidi="fa-IR"/>
        </w:rPr>
        <w:t>.</w:t>
      </w:r>
      <w:r w:rsidRPr="000B6C1E">
        <w:rPr>
          <w:rFonts w:cs="Abz-2 (Badr)"/>
          <w:color w:val="0070C0"/>
          <w:sz w:val="28"/>
          <w:szCs w:val="28"/>
          <w:rtl/>
          <w:lang w:bidi="fa-IR"/>
        </w:rPr>
        <w:t xml:space="preserve"> فإن لم يكن له أ</w:t>
      </w:r>
      <w:r w:rsidRPr="000B6C1E">
        <w:rPr>
          <w:rFonts w:cs="Abz-2 (Badr)" w:hint="cs"/>
          <w:color w:val="0070C0"/>
          <w:sz w:val="28"/>
          <w:szCs w:val="28"/>
          <w:rtl/>
          <w:lang w:bidi="fa-IR"/>
        </w:rPr>
        <w:t>ُ</w:t>
      </w:r>
      <w:r w:rsidRPr="000B6C1E">
        <w:rPr>
          <w:rFonts w:cs="Abz-2 (Badr)"/>
          <w:color w:val="0070C0"/>
          <w:sz w:val="28"/>
          <w:szCs w:val="28"/>
          <w:rtl/>
          <w:lang w:bidi="fa-IR"/>
        </w:rPr>
        <w:t>م</w:t>
      </w:r>
      <w:r w:rsidRPr="000B6C1E">
        <w:rPr>
          <w:rFonts w:cs="Abz-2 (Badr)" w:hint="cs"/>
          <w:color w:val="0070C0"/>
          <w:sz w:val="28"/>
          <w:szCs w:val="28"/>
          <w:rtl/>
          <w:lang w:bidi="fa-IR"/>
        </w:rPr>
        <w:t>ّ</w:t>
      </w:r>
      <w:r w:rsidRPr="000B6C1E">
        <w:rPr>
          <w:rFonts w:cs="Abz-2 (Badr)"/>
          <w:color w:val="0070C0"/>
          <w:sz w:val="28"/>
          <w:szCs w:val="28"/>
          <w:rtl/>
          <w:lang w:bidi="fa-IR"/>
        </w:rPr>
        <w:t xml:space="preserve"> وكان له أب</w:t>
      </w:r>
      <w:r w:rsidRPr="000B6C1E">
        <w:rPr>
          <w:rFonts w:cs="Abz-2 (Badr)" w:hint="cs"/>
          <w:color w:val="0070C0"/>
          <w:sz w:val="28"/>
          <w:szCs w:val="28"/>
          <w:rtl/>
          <w:lang w:bidi="fa-IR"/>
        </w:rPr>
        <w:t>،</w:t>
      </w:r>
      <w:r w:rsidRPr="000B6C1E">
        <w:rPr>
          <w:rFonts w:cs="Abz-2 (Badr)"/>
          <w:color w:val="0070C0"/>
          <w:sz w:val="28"/>
          <w:szCs w:val="28"/>
          <w:rtl/>
          <w:lang w:bidi="fa-IR"/>
        </w:rPr>
        <w:t xml:space="preserve"> قام مقامه في ذلك</w:t>
      </w:r>
      <w:r w:rsidRPr="000B6C1E">
        <w:rPr>
          <w:rFonts w:cs="Abz-2 (Badr)" w:hint="cs"/>
          <w:color w:val="0070C0"/>
          <w:sz w:val="28"/>
          <w:szCs w:val="28"/>
          <w:rtl/>
          <w:lang w:bidi="fa-IR"/>
        </w:rPr>
        <w:t>.</w:t>
      </w:r>
      <w:r w:rsidRPr="000B6C1E">
        <w:rPr>
          <w:rFonts w:cs="Abz-2 (Badr)"/>
          <w:color w:val="0070C0"/>
          <w:sz w:val="28"/>
          <w:szCs w:val="28"/>
          <w:rtl/>
          <w:lang w:bidi="fa-IR"/>
        </w:rPr>
        <w:t xml:space="preserve"> فإن لم يكن له أب ولا أ</w:t>
      </w:r>
      <w:r w:rsidRPr="000B6C1E">
        <w:rPr>
          <w:rFonts w:cs="Abz-2 (Badr)" w:hint="cs"/>
          <w:color w:val="0070C0"/>
          <w:sz w:val="28"/>
          <w:szCs w:val="28"/>
          <w:rtl/>
          <w:lang w:bidi="fa-IR"/>
        </w:rPr>
        <w:t>ُ</w:t>
      </w:r>
      <w:r w:rsidRPr="000B6C1E">
        <w:rPr>
          <w:rFonts w:cs="Abz-2 (Badr)"/>
          <w:color w:val="0070C0"/>
          <w:sz w:val="28"/>
          <w:szCs w:val="28"/>
          <w:rtl/>
          <w:lang w:bidi="fa-IR"/>
        </w:rPr>
        <w:t>م</w:t>
      </w:r>
      <w:r w:rsidRPr="000B6C1E">
        <w:rPr>
          <w:rFonts w:cs="Abz-2 (Badr)" w:hint="cs"/>
          <w:color w:val="0070C0"/>
          <w:sz w:val="28"/>
          <w:szCs w:val="28"/>
          <w:rtl/>
          <w:lang w:bidi="fa-IR"/>
        </w:rPr>
        <w:t>ّ،</w:t>
      </w:r>
      <w:r w:rsidRPr="000B6C1E">
        <w:rPr>
          <w:rFonts w:cs="Abz-2 (Badr)"/>
          <w:color w:val="0070C0"/>
          <w:sz w:val="28"/>
          <w:szCs w:val="28"/>
          <w:rtl/>
          <w:lang w:bidi="fa-IR"/>
        </w:rPr>
        <w:t xml:space="preserve"> كانت الأ</w:t>
      </w:r>
      <w:r w:rsidRPr="000B6C1E">
        <w:rPr>
          <w:rFonts w:cs="Abz-2 (Badr)" w:hint="cs"/>
          <w:color w:val="0070C0"/>
          <w:sz w:val="28"/>
          <w:szCs w:val="28"/>
          <w:rtl/>
          <w:lang w:bidi="fa-IR"/>
        </w:rPr>
        <w:t>ُ</w:t>
      </w:r>
      <w:r w:rsidRPr="000B6C1E">
        <w:rPr>
          <w:rFonts w:cs="Abz-2 (Badr)"/>
          <w:color w:val="0070C0"/>
          <w:sz w:val="28"/>
          <w:szCs w:val="28"/>
          <w:rtl/>
          <w:lang w:bidi="fa-IR"/>
        </w:rPr>
        <w:t>م</w:t>
      </w:r>
      <w:r w:rsidRPr="000B6C1E">
        <w:rPr>
          <w:rFonts w:cs="Abz-2 (Badr)" w:hint="cs"/>
          <w:color w:val="0070C0"/>
          <w:sz w:val="28"/>
          <w:szCs w:val="28"/>
          <w:rtl/>
          <w:lang w:bidi="fa-IR"/>
        </w:rPr>
        <w:t>ّ</w:t>
      </w:r>
      <w:r w:rsidRPr="000B6C1E">
        <w:rPr>
          <w:rFonts w:cs="Abz-2 (Badr)"/>
          <w:color w:val="0070C0"/>
          <w:sz w:val="28"/>
          <w:szCs w:val="28"/>
          <w:rtl/>
          <w:lang w:bidi="fa-IR"/>
        </w:rPr>
        <w:t xml:space="preserve"> التي هي الجد</w:t>
      </w:r>
      <w:r w:rsidRPr="000B6C1E">
        <w:rPr>
          <w:rFonts w:cs="Abz-2 (Badr)" w:hint="cs"/>
          <w:color w:val="0070C0"/>
          <w:sz w:val="28"/>
          <w:szCs w:val="28"/>
          <w:rtl/>
          <w:lang w:bidi="fa-IR"/>
        </w:rPr>
        <w:t>ّ</w:t>
      </w:r>
      <w:r w:rsidRPr="000B6C1E">
        <w:rPr>
          <w:rFonts w:cs="Abz-2 (Badr)"/>
          <w:color w:val="0070C0"/>
          <w:sz w:val="28"/>
          <w:szCs w:val="28"/>
          <w:rtl/>
          <w:lang w:bidi="fa-IR"/>
        </w:rPr>
        <w:t>ة أحق</w:t>
      </w:r>
      <w:r w:rsidRPr="000B6C1E">
        <w:rPr>
          <w:rFonts w:cs="Abz-2 (Badr)" w:hint="cs"/>
          <w:color w:val="0070C0"/>
          <w:sz w:val="28"/>
          <w:szCs w:val="28"/>
          <w:rtl/>
          <w:lang w:bidi="fa-IR"/>
        </w:rPr>
        <w:t>ّ</w:t>
      </w:r>
      <w:r w:rsidRPr="000B6C1E">
        <w:rPr>
          <w:rFonts w:cs="Abz-2 (Badr)"/>
          <w:color w:val="0070C0"/>
          <w:sz w:val="28"/>
          <w:szCs w:val="28"/>
          <w:rtl/>
          <w:lang w:bidi="fa-IR"/>
        </w:rPr>
        <w:t xml:space="preserve"> به من البعداء</w:t>
      </w:r>
      <w:r w:rsidRPr="000B6C1E">
        <w:rPr>
          <w:rFonts w:cs="Abz-2 (Badr)" w:hint="cs"/>
          <w:color w:val="0070C0"/>
          <w:sz w:val="28"/>
          <w:szCs w:val="28"/>
          <w:rtl/>
          <w:lang w:bidi="fa-IR"/>
        </w:rPr>
        <w:t>.»</w:t>
      </w:r>
      <w:r w:rsidRPr="00A01D2F">
        <w:rPr>
          <w:rFonts w:cs="Abz-2 (Badr)"/>
          <w:color w:val="000000" w:themeColor="text1"/>
          <w:sz w:val="28"/>
          <w:szCs w:val="28"/>
          <w:vertAlign w:val="superscript"/>
          <w:rtl/>
          <w:lang w:bidi="ar"/>
        </w:rPr>
        <w:footnoteReference w:id="2"/>
      </w:r>
      <w:r>
        <w:rPr>
          <w:rFonts w:cs="Abz-2 (Badr)" w:hint="cs"/>
          <w:color w:val="0070C0"/>
          <w:sz w:val="28"/>
          <w:szCs w:val="28"/>
          <w:rtl/>
          <w:lang w:bidi="fa-IR"/>
        </w:rPr>
        <w:t xml:space="preserve"> </w:t>
      </w:r>
      <w:r w:rsidRPr="000B6C1E">
        <w:rPr>
          <w:rFonts w:cs="Abz-2 (Badr)" w:hint="cs"/>
          <w:color w:val="000000" w:themeColor="text1"/>
          <w:sz w:val="28"/>
          <w:szCs w:val="28"/>
          <w:rtl/>
          <w:lang w:bidi="fa-IR"/>
        </w:rPr>
        <w:t xml:space="preserve">و ظاهر اين است که مراد ايشان از جده ـ همان گونه که صاحب جواهر فرموده است ـ مادر بزرگ مادری </w:t>
      </w:r>
      <w:r>
        <w:rPr>
          <w:rFonts w:cs="Abz-2 (Badr)" w:hint="cs"/>
          <w:color w:val="000000" w:themeColor="text1"/>
          <w:sz w:val="28"/>
          <w:szCs w:val="28"/>
          <w:rtl/>
          <w:lang w:bidi="fa-IR"/>
        </w:rPr>
        <w:t xml:space="preserve">فرزند </w:t>
      </w:r>
      <w:r w:rsidRPr="000B6C1E">
        <w:rPr>
          <w:rFonts w:cs="Abz-2 (Badr)" w:hint="cs"/>
          <w:color w:val="000000" w:themeColor="text1"/>
          <w:sz w:val="28"/>
          <w:szCs w:val="28"/>
          <w:rtl/>
          <w:lang w:bidi="fa-IR"/>
        </w:rPr>
        <w:t>است.</w:t>
      </w:r>
      <w:r w:rsidRPr="00A01D2F">
        <w:rPr>
          <w:rFonts w:cs="Abz-2 (Badr)"/>
          <w:color w:val="000000" w:themeColor="text1"/>
          <w:sz w:val="28"/>
          <w:szCs w:val="28"/>
          <w:vertAlign w:val="superscript"/>
          <w:rtl/>
          <w:lang w:bidi="ar"/>
        </w:rPr>
        <w:footnoteReference w:id="3"/>
      </w:r>
    </w:p>
    <w:p w14:paraId="520A07DE" w14:textId="77777777" w:rsidR="003A098C" w:rsidRPr="000476E3"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ابن حمزه نيز اين چنين گفته است: </w:t>
      </w:r>
      <w:r w:rsidRPr="000476E3">
        <w:rPr>
          <w:rFonts w:cs="Abz-2 (Badr)" w:hint="cs"/>
          <w:color w:val="0070C0"/>
          <w:sz w:val="28"/>
          <w:szCs w:val="28"/>
          <w:rtl/>
          <w:lang w:bidi="fa-IR"/>
        </w:rPr>
        <w:t>«</w:t>
      </w:r>
      <w:r w:rsidRPr="000476E3">
        <w:rPr>
          <w:rFonts w:cs="Abz-2 (Badr)"/>
          <w:color w:val="0070C0"/>
          <w:sz w:val="28"/>
          <w:szCs w:val="28"/>
          <w:rtl/>
          <w:lang w:bidi="fa-IR"/>
        </w:rPr>
        <w:t>إن لم يكن له أحد الأبوين</w:t>
      </w:r>
      <w:r w:rsidRPr="000476E3">
        <w:rPr>
          <w:rFonts w:cs="Abz-2 (Badr)" w:hint="cs"/>
          <w:color w:val="0070C0"/>
          <w:sz w:val="28"/>
          <w:szCs w:val="28"/>
          <w:rtl/>
          <w:lang w:bidi="fa-IR"/>
        </w:rPr>
        <w:t>،</w:t>
      </w:r>
      <w:r w:rsidRPr="000476E3">
        <w:rPr>
          <w:rFonts w:cs="Abz-2 (Badr)"/>
          <w:color w:val="0070C0"/>
          <w:sz w:val="28"/>
          <w:szCs w:val="28"/>
          <w:rtl/>
          <w:lang w:bidi="fa-IR"/>
        </w:rPr>
        <w:t xml:space="preserve"> لم يخل</w:t>
      </w:r>
      <w:r>
        <w:rPr>
          <w:rFonts w:cs="Abz-2 (Badr)" w:hint="cs"/>
          <w:color w:val="0070C0"/>
          <w:sz w:val="28"/>
          <w:szCs w:val="28"/>
          <w:rtl/>
          <w:lang w:bidi="fa-IR"/>
        </w:rPr>
        <w:t>ُ</w:t>
      </w:r>
      <w:r w:rsidRPr="000476E3">
        <w:rPr>
          <w:rFonts w:cs="Abz-2 (Badr)"/>
          <w:color w:val="0070C0"/>
          <w:sz w:val="28"/>
          <w:szCs w:val="28"/>
          <w:rtl/>
          <w:lang w:bidi="fa-IR"/>
        </w:rPr>
        <w:t xml:space="preserve"> حال قرابته من ثلاثة أحوال</w:t>
      </w:r>
      <w:r w:rsidRPr="000476E3">
        <w:rPr>
          <w:rFonts w:cs="Abz-2 (Badr)" w:hint="cs"/>
          <w:color w:val="0070C0"/>
          <w:sz w:val="28"/>
          <w:szCs w:val="28"/>
          <w:rtl/>
          <w:lang w:bidi="fa-IR"/>
        </w:rPr>
        <w:t>:</w:t>
      </w:r>
      <w:r w:rsidRPr="000476E3">
        <w:rPr>
          <w:rFonts w:cs="Abz-2 (Badr)"/>
          <w:color w:val="0070C0"/>
          <w:sz w:val="28"/>
          <w:szCs w:val="28"/>
          <w:rtl/>
          <w:lang w:bidi="fa-IR"/>
        </w:rPr>
        <w:t xml:space="preserve"> إم</w:t>
      </w:r>
      <w:r w:rsidRPr="000476E3">
        <w:rPr>
          <w:rFonts w:cs="Abz-2 (Badr)" w:hint="cs"/>
          <w:color w:val="0070C0"/>
          <w:sz w:val="28"/>
          <w:szCs w:val="28"/>
          <w:rtl/>
          <w:lang w:bidi="fa-IR"/>
        </w:rPr>
        <w:t>ّ</w:t>
      </w:r>
      <w:r w:rsidRPr="000476E3">
        <w:rPr>
          <w:rFonts w:cs="Abz-2 (Badr)"/>
          <w:color w:val="0070C0"/>
          <w:sz w:val="28"/>
          <w:szCs w:val="28"/>
          <w:rtl/>
          <w:lang w:bidi="fa-IR"/>
        </w:rPr>
        <w:t>ا كانت رجالا</w:t>
      </w:r>
      <w:r w:rsidRPr="000476E3">
        <w:rPr>
          <w:rFonts w:cs="Abz-2 (Badr)" w:hint="cs"/>
          <w:color w:val="0070C0"/>
          <w:sz w:val="28"/>
          <w:szCs w:val="28"/>
          <w:rtl/>
          <w:lang w:bidi="fa-IR"/>
        </w:rPr>
        <w:t>ً</w:t>
      </w:r>
      <w:r w:rsidRPr="000476E3">
        <w:rPr>
          <w:rFonts w:cs="Abz-2 (Badr)"/>
          <w:color w:val="0070C0"/>
          <w:sz w:val="28"/>
          <w:szCs w:val="28"/>
          <w:rtl/>
          <w:lang w:bidi="fa-IR"/>
        </w:rPr>
        <w:t xml:space="preserve"> بلا نساء</w:t>
      </w:r>
      <w:r w:rsidRPr="000476E3">
        <w:rPr>
          <w:rFonts w:cs="Abz-2 (Badr)" w:hint="cs"/>
          <w:color w:val="0070C0"/>
          <w:sz w:val="28"/>
          <w:szCs w:val="28"/>
          <w:rtl/>
          <w:lang w:bidi="fa-IR"/>
        </w:rPr>
        <w:t>،</w:t>
      </w:r>
      <w:r w:rsidRPr="000476E3">
        <w:rPr>
          <w:rFonts w:cs="Abz-2 (Badr)"/>
          <w:color w:val="0070C0"/>
          <w:sz w:val="28"/>
          <w:szCs w:val="28"/>
          <w:rtl/>
          <w:lang w:bidi="fa-IR"/>
        </w:rPr>
        <w:t xml:space="preserve"> أو نساء</w:t>
      </w:r>
      <w:r w:rsidRPr="000476E3">
        <w:rPr>
          <w:rFonts w:cs="Abz-2 (Badr)" w:hint="cs"/>
          <w:color w:val="0070C0"/>
          <w:sz w:val="28"/>
          <w:szCs w:val="28"/>
          <w:rtl/>
          <w:lang w:bidi="fa-IR"/>
        </w:rPr>
        <w:t>ً</w:t>
      </w:r>
      <w:r w:rsidRPr="000476E3">
        <w:rPr>
          <w:rFonts w:cs="Abz-2 (Badr)"/>
          <w:color w:val="0070C0"/>
          <w:sz w:val="28"/>
          <w:szCs w:val="28"/>
          <w:rtl/>
          <w:lang w:bidi="fa-IR"/>
        </w:rPr>
        <w:t xml:space="preserve"> بلا رجال</w:t>
      </w:r>
      <w:r w:rsidRPr="000476E3">
        <w:rPr>
          <w:rFonts w:cs="Abz-2 (Badr)" w:hint="cs"/>
          <w:color w:val="0070C0"/>
          <w:sz w:val="28"/>
          <w:szCs w:val="28"/>
          <w:rtl/>
          <w:lang w:bidi="fa-IR"/>
        </w:rPr>
        <w:t>،</w:t>
      </w:r>
      <w:r w:rsidRPr="000476E3">
        <w:rPr>
          <w:rFonts w:cs="Abz-2 (Badr)"/>
          <w:color w:val="0070C0"/>
          <w:sz w:val="28"/>
          <w:szCs w:val="28"/>
          <w:rtl/>
          <w:lang w:bidi="fa-IR"/>
        </w:rPr>
        <w:t xml:space="preserve"> أو رجالا</w:t>
      </w:r>
      <w:r w:rsidRPr="000476E3">
        <w:rPr>
          <w:rFonts w:cs="Abz-2 (Badr)" w:hint="cs"/>
          <w:color w:val="0070C0"/>
          <w:sz w:val="28"/>
          <w:szCs w:val="28"/>
          <w:rtl/>
          <w:lang w:bidi="fa-IR"/>
        </w:rPr>
        <w:t>ً</w:t>
      </w:r>
      <w:r w:rsidRPr="000476E3">
        <w:rPr>
          <w:rFonts w:cs="Abz-2 (Badr)"/>
          <w:color w:val="0070C0"/>
          <w:sz w:val="28"/>
          <w:szCs w:val="28"/>
          <w:rtl/>
          <w:lang w:bidi="fa-IR"/>
        </w:rPr>
        <w:t xml:space="preserve"> ونساء</w:t>
      </w:r>
      <w:r w:rsidRPr="000476E3">
        <w:rPr>
          <w:rFonts w:cs="Abz-2 (Badr)" w:hint="cs"/>
          <w:color w:val="0070C0"/>
          <w:sz w:val="28"/>
          <w:szCs w:val="28"/>
          <w:rtl/>
          <w:lang w:bidi="fa-IR"/>
        </w:rPr>
        <w:t>ً</w:t>
      </w:r>
      <w:r w:rsidRPr="000476E3">
        <w:rPr>
          <w:rFonts w:cs="Abz-2 (Badr)"/>
          <w:color w:val="0070C0"/>
          <w:sz w:val="28"/>
          <w:szCs w:val="28"/>
          <w:rtl/>
          <w:lang w:bidi="fa-IR"/>
        </w:rPr>
        <w:t>.</w:t>
      </w:r>
    </w:p>
    <w:p w14:paraId="65DCBEFD" w14:textId="77777777" w:rsidR="003A098C" w:rsidRDefault="003A098C" w:rsidP="003A098C">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0476E3">
        <w:rPr>
          <w:rFonts w:cs="Abz-2 (Badr)"/>
          <w:color w:val="0070C0"/>
          <w:sz w:val="28"/>
          <w:szCs w:val="28"/>
          <w:rtl/>
          <w:lang w:bidi="fa-IR"/>
        </w:rPr>
        <w:t>فإن كانت رجالا</w:t>
      </w:r>
      <w:r w:rsidRPr="000476E3">
        <w:rPr>
          <w:rFonts w:cs="Abz-2 (Badr)" w:hint="cs"/>
          <w:color w:val="0070C0"/>
          <w:sz w:val="28"/>
          <w:szCs w:val="28"/>
          <w:rtl/>
          <w:lang w:bidi="fa-IR"/>
        </w:rPr>
        <w:t>ً</w:t>
      </w:r>
      <w:r w:rsidRPr="000476E3">
        <w:rPr>
          <w:rFonts w:cs="Abz-2 (Badr)"/>
          <w:color w:val="0070C0"/>
          <w:sz w:val="28"/>
          <w:szCs w:val="28"/>
          <w:rtl/>
          <w:lang w:bidi="fa-IR"/>
        </w:rPr>
        <w:t xml:space="preserve"> فأولاهم به أحق</w:t>
      </w:r>
      <w:r w:rsidRPr="000476E3">
        <w:rPr>
          <w:rFonts w:cs="Abz-2 (Badr)" w:hint="cs"/>
          <w:color w:val="0070C0"/>
          <w:sz w:val="28"/>
          <w:szCs w:val="28"/>
          <w:rtl/>
          <w:lang w:bidi="fa-IR"/>
        </w:rPr>
        <w:t>ّ</w:t>
      </w:r>
      <w:r w:rsidRPr="000476E3">
        <w:rPr>
          <w:rFonts w:cs="Abz-2 (Badr)"/>
          <w:color w:val="0070C0"/>
          <w:sz w:val="28"/>
          <w:szCs w:val="28"/>
          <w:rtl/>
          <w:lang w:bidi="fa-IR"/>
        </w:rPr>
        <w:t>هم بميراثه</w:t>
      </w:r>
      <w:r w:rsidRPr="000476E3">
        <w:rPr>
          <w:rFonts w:cs="Abz-2 (Badr)" w:hint="cs"/>
          <w:color w:val="0070C0"/>
          <w:sz w:val="28"/>
          <w:szCs w:val="28"/>
          <w:rtl/>
          <w:lang w:bidi="fa-IR"/>
        </w:rPr>
        <w:t>،</w:t>
      </w:r>
      <w:r w:rsidRPr="000476E3">
        <w:rPr>
          <w:rFonts w:cs="Abz-2 (Badr)"/>
          <w:color w:val="0070C0"/>
          <w:sz w:val="28"/>
          <w:szCs w:val="28"/>
          <w:rtl/>
          <w:lang w:bidi="fa-IR"/>
        </w:rPr>
        <w:t xml:space="preserve"> وإن كانت نساء</w:t>
      </w:r>
      <w:r w:rsidRPr="000476E3">
        <w:rPr>
          <w:rFonts w:cs="Abz-2 (Badr)" w:hint="cs"/>
          <w:color w:val="0070C0"/>
          <w:sz w:val="28"/>
          <w:szCs w:val="28"/>
          <w:rtl/>
          <w:lang w:bidi="fa-IR"/>
        </w:rPr>
        <w:t>ً</w:t>
      </w:r>
      <w:r w:rsidRPr="000476E3">
        <w:rPr>
          <w:rFonts w:cs="Abz-2 (Badr)"/>
          <w:color w:val="0070C0"/>
          <w:sz w:val="28"/>
          <w:szCs w:val="28"/>
          <w:rtl/>
          <w:lang w:bidi="fa-IR"/>
        </w:rPr>
        <w:t xml:space="preserve"> فكذلك</w:t>
      </w:r>
      <w:r w:rsidRPr="000476E3">
        <w:rPr>
          <w:rFonts w:cs="Abz-2 (Badr)" w:hint="cs"/>
          <w:color w:val="0070C0"/>
          <w:sz w:val="28"/>
          <w:szCs w:val="28"/>
          <w:rtl/>
          <w:lang w:bidi="fa-IR"/>
        </w:rPr>
        <w:t>،</w:t>
      </w:r>
      <w:r w:rsidRPr="000476E3">
        <w:rPr>
          <w:rFonts w:cs="Abz-2 (Badr)"/>
          <w:color w:val="0070C0"/>
          <w:sz w:val="28"/>
          <w:szCs w:val="28"/>
          <w:rtl/>
          <w:lang w:bidi="fa-IR"/>
        </w:rPr>
        <w:t xml:space="preserve"> وإن كانت رجالا</w:t>
      </w:r>
      <w:r w:rsidRPr="000476E3">
        <w:rPr>
          <w:rFonts w:cs="Abz-2 (Badr)" w:hint="cs"/>
          <w:color w:val="0070C0"/>
          <w:sz w:val="28"/>
          <w:szCs w:val="28"/>
          <w:rtl/>
          <w:lang w:bidi="fa-IR"/>
        </w:rPr>
        <w:t>ً</w:t>
      </w:r>
      <w:r w:rsidRPr="000476E3">
        <w:rPr>
          <w:rFonts w:cs="Abz-2 (Badr)"/>
          <w:color w:val="0070C0"/>
          <w:sz w:val="28"/>
          <w:szCs w:val="28"/>
          <w:rtl/>
          <w:lang w:bidi="fa-IR"/>
        </w:rPr>
        <w:t xml:space="preserve"> ونساء</w:t>
      </w:r>
      <w:r w:rsidRPr="000476E3">
        <w:rPr>
          <w:rFonts w:cs="Abz-2 (Badr)" w:hint="cs"/>
          <w:color w:val="0070C0"/>
          <w:sz w:val="28"/>
          <w:szCs w:val="28"/>
          <w:rtl/>
          <w:lang w:bidi="fa-IR"/>
        </w:rPr>
        <w:t>ً</w:t>
      </w:r>
      <w:r w:rsidRPr="000476E3">
        <w:rPr>
          <w:rFonts w:cs="Abz-2 (Badr)"/>
          <w:color w:val="0070C0"/>
          <w:sz w:val="28"/>
          <w:szCs w:val="28"/>
          <w:rtl/>
          <w:lang w:bidi="fa-IR"/>
        </w:rPr>
        <w:t xml:space="preserve"> فالنساء أولى إذا كانت أقرب من الرجال أو كانت في درجتهم</w:t>
      </w:r>
      <w:r w:rsidRPr="000476E3">
        <w:rPr>
          <w:rFonts w:cs="Abz-2 (Badr)" w:hint="cs"/>
          <w:color w:val="0070C0"/>
          <w:sz w:val="28"/>
          <w:szCs w:val="28"/>
          <w:rtl/>
          <w:lang w:bidi="fa-IR"/>
        </w:rPr>
        <w:t>.»</w:t>
      </w:r>
      <w:r w:rsidRPr="00A01D2F">
        <w:rPr>
          <w:rFonts w:cs="Abz-2 (Badr)"/>
          <w:color w:val="000000" w:themeColor="text1"/>
          <w:sz w:val="28"/>
          <w:szCs w:val="28"/>
          <w:vertAlign w:val="superscript"/>
          <w:rtl/>
          <w:lang w:bidi="ar"/>
        </w:rPr>
        <w:footnoteReference w:id="4"/>
      </w:r>
    </w:p>
    <w:p w14:paraId="6097ECF7" w14:textId="77777777" w:rsidR="003A098C" w:rsidRPr="00355C18" w:rsidRDefault="003A098C" w:rsidP="003A098C">
      <w:pPr>
        <w:pStyle w:val="NormalWeb"/>
        <w:widowControl w:val="0"/>
        <w:bidi/>
        <w:spacing w:before="0" w:beforeAutospacing="0" w:after="0" w:afterAutospacing="0" w:line="259" w:lineRule="auto"/>
        <w:ind w:firstLine="284"/>
        <w:jc w:val="both"/>
        <w:rPr>
          <w:rFonts w:cs="Abz-2 (Badr)"/>
          <w:color w:val="BF8F00" w:themeColor="accent4" w:themeShade="BF"/>
          <w:sz w:val="28"/>
          <w:szCs w:val="28"/>
          <w:rtl/>
          <w:lang w:bidi="fa-IR"/>
        </w:rPr>
      </w:pPr>
      <w:r>
        <w:rPr>
          <w:rFonts w:cs="Abz-2 (Badr)" w:hint="cs"/>
          <w:color w:val="000000" w:themeColor="text1"/>
          <w:sz w:val="28"/>
          <w:szCs w:val="28"/>
          <w:rtl/>
          <w:lang w:bidi="fa-IR"/>
        </w:rPr>
        <w:t>علامه نيز در ارشاد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355C18">
        <w:rPr>
          <w:rFonts w:cs="Abz-2 (Badr)" w:hint="cs"/>
          <w:color w:val="0070C0"/>
          <w:sz w:val="28"/>
          <w:szCs w:val="28"/>
          <w:rtl/>
          <w:lang w:bidi="fa-IR"/>
        </w:rPr>
        <w:t>«</w:t>
      </w:r>
      <w:r w:rsidRPr="00355C18">
        <w:rPr>
          <w:rFonts w:cs="Abz-2 (Badr)"/>
          <w:color w:val="0070C0"/>
          <w:sz w:val="28"/>
          <w:szCs w:val="28"/>
          <w:rtl/>
          <w:lang w:bidi="fa-IR"/>
        </w:rPr>
        <w:t>لو عدم الأبوان فللأجداد، فإن عدموا فأقرب النسب كالإرث، ولو تعد</w:t>
      </w:r>
      <w:r>
        <w:rPr>
          <w:rFonts w:cs="Abz-2 (Badr)" w:hint="cs"/>
          <w:color w:val="0070C0"/>
          <w:sz w:val="28"/>
          <w:szCs w:val="28"/>
          <w:rtl/>
          <w:lang w:bidi="fa-IR"/>
        </w:rPr>
        <w:t>ّ</w:t>
      </w:r>
      <w:r w:rsidRPr="00355C18">
        <w:rPr>
          <w:rFonts w:cs="Abz-2 (Badr)"/>
          <w:color w:val="0070C0"/>
          <w:sz w:val="28"/>
          <w:szCs w:val="28"/>
          <w:rtl/>
          <w:lang w:bidi="fa-IR"/>
        </w:rPr>
        <w:t>دوا أ</w:t>
      </w:r>
      <w:r>
        <w:rPr>
          <w:rFonts w:cs="Abz-2 (Badr)" w:hint="cs"/>
          <w:color w:val="0070C0"/>
          <w:sz w:val="28"/>
          <w:szCs w:val="28"/>
          <w:rtl/>
          <w:lang w:bidi="fa-IR"/>
        </w:rPr>
        <w:t>ُ</w:t>
      </w:r>
      <w:r w:rsidRPr="00355C18">
        <w:rPr>
          <w:rFonts w:cs="Abz-2 (Badr)"/>
          <w:color w:val="0070C0"/>
          <w:sz w:val="28"/>
          <w:szCs w:val="28"/>
          <w:rtl/>
          <w:lang w:bidi="fa-IR"/>
        </w:rPr>
        <w:t>قرع</w:t>
      </w:r>
      <w:r>
        <w:rPr>
          <w:rFonts w:cs="Abz-2 (Badr)" w:hint="cs"/>
          <w:color w:val="0070C0"/>
          <w:sz w:val="28"/>
          <w:szCs w:val="28"/>
          <w:rtl/>
          <w:lang w:bidi="fa-IR"/>
        </w:rPr>
        <w:t>.»</w:t>
      </w:r>
      <w:r w:rsidRPr="00A01D2F">
        <w:rPr>
          <w:rFonts w:cs="Abz-2 (Badr)"/>
          <w:color w:val="000000" w:themeColor="text1"/>
          <w:sz w:val="28"/>
          <w:szCs w:val="28"/>
          <w:vertAlign w:val="superscript"/>
          <w:rtl/>
          <w:lang w:bidi="ar"/>
        </w:rPr>
        <w:footnoteReference w:id="5"/>
      </w:r>
    </w:p>
    <w:p w14:paraId="3F6A9FA4" w14:textId="77777777" w:rsidR="003A098C" w:rsidRPr="00BA325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lang w:bidi="fa-IR"/>
        </w:rPr>
      </w:pPr>
      <w:r>
        <w:rPr>
          <w:rFonts w:cs="Abz-2 (Badr)" w:hint="cs"/>
          <w:color w:val="000000" w:themeColor="text1"/>
          <w:sz w:val="28"/>
          <w:szCs w:val="28"/>
          <w:rtl/>
          <w:lang w:bidi="fa-IR"/>
        </w:rPr>
        <w:t xml:space="preserve">شهيد ثانی نيز در مسالك فرموده است: </w:t>
      </w:r>
      <w:r w:rsidRPr="00BA325C">
        <w:rPr>
          <w:rFonts w:cs="Abz-2 (Badr)" w:hint="cs"/>
          <w:color w:val="0070C0"/>
          <w:sz w:val="28"/>
          <w:szCs w:val="28"/>
          <w:rtl/>
          <w:lang w:bidi="fa-IR"/>
        </w:rPr>
        <w:t>«</w:t>
      </w:r>
      <w:r w:rsidRPr="00BA325C">
        <w:rPr>
          <w:rFonts w:cs="Abz-2 (Badr)"/>
          <w:color w:val="0070C0"/>
          <w:sz w:val="28"/>
          <w:szCs w:val="28"/>
          <w:rtl/>
          <w:lang w:bidi="fa-IR"/>
        </w:rPr>
        <w:t>اعلم أن</w:t>
      </w:r>
      <w:r w:rsidRPr="00BA325C">
        <w:rPr>
          <w:rFonts w:cs="Abz-2 (Badr)" w:hint="cs"/>
          <w:color w:val="0070C0"/>
          <w:sz w:val="28"/>
          <w:szCs w:val="28"/>
          <w:rtl/>
          <w:lang w:bidi="fa-IR"/>
        </w:rPr>
        <w:t>ّ</w:t>
      </w:r>
      <w:r w:rsidRPr="00BA325C">
        <w:rPr>
          <w:rFonts w:cs="Abz-2 (Badr)"/>
          <w:color w:val="0070C0"/>
          <w:sz w:val="28"/>
          <w:szCs w:val="28"/>
          <w:rtl/>
          <w:lang w:bidi="fa-IR"/>
        </w:rPr>
        <w:t xml:space="preserve">ه لا نصّ‌ في مستحقّ‌ الحضانة على الخصوص سوى الأبوين دون من </w:t>
      </w:r>
      <w:r w:rsidRPr="00BA325C">
        <w:rPr>
          <w:rFonts w:cs="Abz-2 (Badr)"/>
          <w:color w:val="0070C0"/>
          <w:sz w:val="28"/>
          <w:szCs w:val="28"/>
          <w:rtl/>
          <w:lang w:bidi="fa-IR"/>
        </w:rPr>
        <w:lastRenderedPageBreak/>
        <w:t>عداهما من بقيّة الأجداد والجدّات والأقارب، فلذلك اختلف الأصحاب في حكمهم اختلافا</w:t>
      </w:r>
      <w:r w:rsidRPr="00BA325C">
        <w:rPr>
          <w:rFonts w:cs="Abz-2 (Badr)" w:hint="cs"/>
          <w:color w:val="0070C0"/>
          <w:sz w:val="28"/>
          <w:szCs w:val="28"/>
          <w:rtl/>
          <w:lang w:bidi="fa-IR"/>
        </w:rPr>
        <w:t>ً</w:t>
      </w:r>
      <w:r w:rsidRPr="00BA325C">
        <w:rPr>
          <w:rFonts w:cs="Abz-2 (Badr)"/>
          <w:color w:val="0070C0"/>
          <w:sz w:val="28"/>
          <w:szCs w:val="28"/>
          <w:rtl/>
          <w:lang w:bidi="fa-IR"/>
        </w:rPr>
        <w:t xml:space="preserve"> كثيرا</w:t>
      </w:r>
      <w:r w:rsidRPr="00BA325C">
        <w:rPr>
          <w:rFonts w:cs="Abz-2 (Badr)" w:hint="cs"/>
          <w:color w:val="0070C0"/>
          <w:sz w:val="28"/>
          <w:szCs w:val="28"/>
          <w:rtl/>
          <w:lang w:bidi="fa-IR"/>
        </w:rPr>
        <w:t>ً</w:t>
      </w:r>
      <w:r w:rsidRPr="00BA325C">
        <w:rPr>
          <w:rFonts w:cs="Abz-2 (Badr)"/>
          <w:color w:val="0070C0"/>
          <w:sz w:val="28"/>
          <w:szCs w:val="28"/>
          <w:rtl/>
          <w:lang w:bidi="fa-IR"/>
        </w:rPr>
        <w:t>، فمنهم من عدّى الحكم [منهما] إلى باقي الأقارب والأرحام على ترتيب الإرث، لعموم قوله تعالى</w:t>
      </w:r>
      <w:r w:rsidRPr="00BA325C">
        <w:rPr>
          <w:rFonts w:cs="Abz-2 (Badr)" w:hint="cs"/>
          <w:color w:val="0070C0"/>
          <w:sz w:val="28"/>
          <w:szCs w:val="28"/>
          <w:rtl/>
          <w:lang w:bidi="fa-IR"/>
        </w:rPr>
        <w:t>:</w:t>
      </w:r>
      <w:r w:rsidRPr="00BA325C">
        <w:rPr>
          <w:rFonts w:cs="Abz-2 (Badr)"/>
          <w:color w:val="0070C0"/>
          <w:sz w:val="28"/>
          <w:szCs w:val="28"/>
          <w:rtl/>
          <w:lang w:bidi="fa-IR"/>
        </w:rPr>
        <w:t xml:space="preserve"> </w:t>
      </w:r>
      <w:r w:rsidRPr="00BA325C">
        <w:rPr>
          <w:rFonts w:cs="QuranTaha" w:hint="cs"/>
          <w:color w:val="BF8F00" w:themeColor="accent4" w:themeShade="BF"/>
          <w:sz w:val="26"/>
          <w:szCs w:val="26"/>
          <w:rtl/>
          <w:lang w:bidi="fa-IR"/>
        </w:rPr>
        <w:t>«</w:t>
      </w:r>
      <w:r w:rsidRPr="00BA325C">
        <w:rPr>
          <w:rFonts w:cs="QuranTaha"/>
          <w:color w:val="BF8F00" w:themeColor="accent4" w:themeShade="BF"/>
          <w:sz w:val="26"/>
          <w:szCs w:val="26"/>
          <w:rtl/>
          <w:lang w:bidi="fa-IR"/>
        </w:rPr>
        <w:t>وَأُولُوا الْأَرْحٰامِ‌ بَعْضُهُمْ‌ أَوْلىٰ‌ بِبَعْضٍ‌ فِ</w:t>
      </w:r>
      <w:r>
        <w:rPr>
          <w:rFonts w:cs="QuranTaha" w:hint="cs"/>
          <w:color w:val="BF8F00" w:themeColor="accent4" w:themeShade="BF"/>
          <w:sz w:val="26"/>
          <w:szCs w:val="26"/>
          <w:rtl/>
          <w:lang w:bidi="fa-IR"/>
        </w:rPr>
        <w:t>ی</w:t>
      </w:r>
      <w:r w:rsidRPr="00BA325C">
        <w:rPr>
          <w:rFonts w:cs="QuranTaha"/>
          <w:color w:val="BF8F00" w:themeColor="accent4" w:themeShade="BF"/>
          <w:sz w:val="26"/>
          <w:szCs w:val="26"/>
          <w:rtl/>
          <w:lang w:bidi="fa-IR"/>
        </w:rPr>
        <w:t xml:space="preserve"> كِتٰابِ‌ الل</w:t>
      </w:r>
      <w:r>
        <w:rPr>
          <w:rFonts w:cs="QuranTaha" w:hint="cs"/>
          <w:color w:val="BF8F00" w:themeColor="accent4" w:themeShade="BF"/>
          <w:sz w:val="26"/>
          <w:szCs w:val="26"/>
          <w:rtl/>
          <w:lang w:bidi="fa-IR"/>
        </w:rPr>
        <w:t>ّ</w:t>
      </w:r>
      <w:r w:rsidRPr="00BA325C">
        <w:rPr>
          <w:rFonts w:cs="QuranTaha"/>
          <w:color w:val="BF8F00" w:themeColor="accent4" w:themeShade="BF"/>
          <w:sz w:val="26"/>
          <w:szCs w:val="26"/>
          <w:rtl/>
          <w:lang w:bidi="fa-IR"/>
        </w:rPr>
        <w:t>هِ</w:t>
      </w:r>
      <w:r w:rsidRPr="00BA325C">
        <w:rPr>
          <w:rFonts w:cs="QuranTaha" w:hint="cs"/>
          <w:color w:val="BF8F00" w:themeColor="accent4" w:themeShade="BF"/>
          <w:sz w:val="26"/>
          <w:szCs w:val="26"/>
          <w:rtl/>
          <w:lang w:bidi="fa-IR"/>
        </w:rPr>
        <w:t>»</w:t>
      </w:r>
      <w:r w:rsidRPr="00A01D2F">
        <w:rPr>
          <w:rFonts w:cs="Abz-2 (Badr)"/>
          <w:color w:val="000000" w:themeColor="text1"/>
          <w:sz w:val="28"/>
          <w:szCs w:val="28"/>
          <w:vertAlign w:val="superscript"/>
          <w:rtl/>
          <w:lang w:bidi="ar"/>
        </w:rPr>
        <w:footnoteReference w:id="6"/>
      </w:r>
      <w:r w:rsidRPr="00BA325C">
        <w:rPr>
          <w:rFonts w:cs="Abz-2 (Badr)" w:hint="cs"/>
          <w:color w:val="0070C0"/>
          <w:sz w:val="28"/>
          <w:szCs w:val="28"/>
          <w:rtl/>
          <w:lang w:bidi="fa-IR"/>
        </w:rPr>
        <w:t xml:space="preserve"> </w:t>
      </w:r>
      <w:r w:rsidRPr="00BA325C">
        <w:rPr>
          <w:rFonts w:cs="Abz-2 (Badr)"/>
          <w:color w:val="0070C0"/>
          <w:sz w:val="28"/>
          <w:szCs w:val="28"/>
          <w:rtl/>
          <w:lang w:bidi="fa-IR"/>
        </w:rPr>
        <w:t>فإن</w:t>
      </w:r>
      <w:r w:rsidRPr="00BA325C">
        <w:rPr>
          <w:rFonts w:cs="Abz-2 (Badr)" w:hint="cs"/>
          <w:color w:val="0070C0"/>
          <w:sz w:val="28"/>
          <w:szCs w:val="28"/>
          <w:rtl/>
          <w:lang w:bidi="fa-IR"/>
        </w:rPr>
        <w:t>ّ</w:t>
      </w:r>
      <w:r w:rsidRPr="00BA325C">
        <w:rPr>
          <w:rFonts w:cs="Abz-2 (Badr)"/>
          <w:color w:val="0070C0"/>
          <w:sz w:val="28"/>
          <w:szCs w:val="28"/>
          <w:rtl/>
          <w:lang w:bidi="fa-IR"/>
        </w:rPr>
        <w:t xml:space="preserve"> الأولويّة تشمل الإرث والحضانة وغيرهما. ولأن</w:t>
      </w:r>
      <w:r w:rsidRPr="00BA325C">
        <w:rPr>
          <w:rFonts w:cs="Abz-2 (Badr)" w:hint="cs"/>
          <w:color w:val="0070C0"/>
          <w:sz w:val="28"/>
          <w:szCs w:val="28"/>
          <w:rtl/>
          <w:lang w:bidi="fa-IR"/>
        </w:rPr>
        <w:t>ّ</w:t>
      </w:r>
      <w:r w:rsidRPr="00BA325C">
        <w:rPr>
          <w:rFonts w:cs="Abz-2 (Badr)"/>
          <w:color w:val="0070C0"/>
          <w:sz w:val="28"/>
          <w:szCs w:val="28"/>
          <w:rtl/>
          <w:lang w:bidi="fa-IR"/>
        </w:rPr>
        <w:t xml:space="preserve"> الولد مضطرّ إلى التربية والحضانة، فلابدّ في الحكمة من نصب قيّم بها، والقريب أولى بها من البعيد.</w:t>
      </w:r>
    </w:p>
    <w:p w14:paraId="787B1D3B" w14:textId="77777777" w:rsidR="003A098C" w:rsidRPr="00BA325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BA325C">
        <w:rPr>
          <w:rFonts w:cs="Abz-2 (Badr)"/>
          <w:color w:val="0070C0"/>
          <w:sz w:val="28"/>
          <w:szCs w:val="28"/>
          <w:rtl/>
          <w:lang w:bidi="fa-IR"/>
        </w:rPr>
        <w:t>وعلى هذا فمع فقد الأبوين ينظر في الموجود من الأقارب، ويقدّر لو كان وارثا</w:t>
      </w:r>
      <w:r w:rsidRPr="00BA325C">
        <w:rPr>
          <w:rFonts w:cs="Abz-2 (Badr)" w:hint="cs"/>
          <w:color w:val="0070C0"/>
          <w:sz w:val="28"/>
          <w:szCs w:val="28"/>
          <w:rtl/>
          <w:lang w:bidi="fa-IR"/>
        </w:rPr>
        <w:t>ً</w:t>
      </w:r>
      <w:r w:rsidRPr="00BA325C">
        <w:rPr>
          <w:rFonts w:cs="Abz-2 (Badr)"/>
          <w:color w:val="0070C0"/>
          <w:sz w:val="28"/>
          <w:szCs w:val="28"/>
          <w:rtl/>
          <w:lang w:bidi="fa-IR"/>
        </w:rPr>
        <w:t xml:space="preserve"> ويحكم له بحقّ‌ الحضانة. ثمّ‌ إن اتّحد اختصّ، وإن تعدّد أ</w:t>
      </w:r>
      <w:r w:rsidRPr="00BA325C">
        <w:rPr>
          <w:rFonts w:cs="Abz-2 (Badr)" w:hint="cs"/>
          <w:color w:val="0070C0"/>
          <w:sz w:val="28"/>
          <w:szCs w:val="28"/>
          <w:rtl/>
          <w:lang w:bidi="fa-IR"/>
        </w:rPr>
        <w:t>ُ</w:t>
      </w:r>
      <w:r w:rsidRPr="00BA325C">
        <w:rPr>
          <w:rFonts w:cs="Abz-2 (Badr)"/>
          <w:color w:val="0070C0"/>
          <w:sz w:val="28"/>
          <w:szCs w:val="28"/>
          <w:rtl/>
          <w:lang w:bidi="fa-IR"/>
        </w:rPr>
        <w:t>قرع بينهم، لما في اشتراكها من الإضرار بالولد.</w:t>
      </w:r>
    </w:p>
    <w:p w14:paraId="261D6BA7" w14:textId="77777777" w:rsidR="003A098C" w:rsidRPr="00BA325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BA325C">
        <w:rPr>
          <w:rFonts w:cs="Abz-2 (Badr)"/>
          <w:color w:val="0070C0"/>
          <w:sz w:val="28"/>
          <w:szCs w:val="28"/>
          <w:rtl/>
          <w:lang w:bidi="fa-IR"/>
        </w:rPr>
        <w:t>وهذا القول هو المعتمد</w:t>
      </w:r>
      <w:r w:rsidRPr="00BA325C">
        <w:rPr>
          <w:rFonts w:cs="Abz-2 (Badr)" w:hint="cs"/>
          <w:color w:val="0070C0"/>
          <w:sz w:val="28"/>
          <w:szCs w:val="28"/>
          <w:rtl/>
          <w:lang w:bidi="fa-IR"/>
        </w:rPr>
        <w:t>.»</w:t>
      </w:r>
      <w:r w:rsidRPr="00A01D2F">
        <w:rPr>
          <w:rFonts w:cs="Abz-2 (Badr)"/>
          <w:color w:val="000000" w:themeColor="text1"/>
          <w:sz w:val="28"/>
          <w:szCs w:val="28"/>
          <w:vertAlign w:val="superscript"/>
          <w:rtl/>
          <w:lang w:bidi="ar"/>
        </w:rPr>
        <w:footnoteReference w:id="7"/>
      </w:r>
    </w:p>
    <w:p w14:paraId="51B7AC06" w14:textId="77777777" w:rsidR="003A098C" w:rsidRPr="00091FED"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lang w:bidi="fa-IR"/>
        </w:rPr>
      </w:pPr>
      <w:r>
        <w:rPr>
          <w:rFonts w:cs="Abz-2 (Badr)" w:hint="cs"/>
          <w:color w:val="000000" w:themeColor="text1"/>
          <w:sz w:val="28"/>
          <w:szCs w:val="28"/>
          <w:rtl/>
          <w:lang w:bidi="fa-IR"/>
        </w:rPr>
        <w:t>اما ابن إدريس با اشکال در ترتيبی که شيخ در خلاف برای حق حضانت برشمرده است،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091FED">
        <w:rPr>
          <w:rFonts w:cs="Abz-2 (Badr)" w:hint="cs"/>
          <w:color w:val="0070C0"/>
          <w:sz w:val="28"/>
          <w:szCs w:val="28"/>
          <w:rtl/>
          <w:lang w:bidi="fa-IR"/>
        </w:rPr>
        <w:t>«</w:t>
      </w:r>
      <w:r w:rsidRPr="00091FED">
        <w:rPr>
          <w:rFonts w:cs="Abz-2 (Badr)"/>
          <w:color w:val="0070C0"/>
          <w:sz w:val="28"/>
          <w:szCs w:val="28"/>
          <w:rtl/>
        </w:rPr>
        <w:t>هو من تخريجات المخالفين ومعظمه قول الشافعي، وبناؤهم على القول بالعصبة، وذلك عندنا باطل</w:t>
      </w:r>
      <w:r w:rsidRPr="00091FED">
        <w:rPr>
          <w:rFonts w:cs="Abz-2 (Badr)" w:hint="cs"/>
          <w:color w:val="0070C0"/>
          <w:sz w:val="28"/>
          <w:szCs w:val="28"/>
          <w:rtl/>
        </w:rPr>
        <w:t>.</w:t>
      </w:r>
    </w:p>
    <w:p w14:paraId="0E4F5187" w14:textId="77777777" w:rsidR="003A098C" w:rsidRPr="00091FED"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lang w:bidi="fa-IR"/>
        </w:rPr>
      </w:pPr>
      <w:r w:rsidRPr="00091FED">
        <w:rPr>
          <w:rFonts w:cs="Abz-2 (Badr)"/>
          <w:color w:val="0070C0"/>
          <w:sz w:val="28"/>
          <w:szCs w:val="28"/>
          <w:rtl/>
        </w:rPr>
        <w:t>ولا حضانة عندنا إلا للأ</w:t>
      </w:r>
      <w:r w:rsidRPr="00091FED">
        <w:rPr>
          <w:rFonts w:cs="Abz-2 (Badr)" w:hint="cs"/>
          <w:color w:val="0070C0"/>
          <w:sz w:val="28"/>
          <w:szCs w:val="28"/>
          <w:rtl/>
        </w:rPr>
        <w:t>ُ</w:t>
      </w:r>
      <w:r w:rsidRPr="00091FED">
        <w:rPr>
          <w:rFonts w:cs="Abz-2 (Badr)"/>
          <w:color w:val="0070C0"/>
          <w:sz w:val="28"/>
          <w:szCs w:val="28"/>
          <w:rtl/>
        </w:rPr>
        <w:t>م</w:t>
      </w:r>
      <w:r w:rsidRPr="00091FED">
        <w:rPr>
          <w:rFonts w:cs="Abz-2 (Badr)" w:hint="cs"/>
          <w:color w:val="0070C0"/>
          <w:sz w:val="28"/>
          <w:szCs w:val="28"/>
          <w:rtl/>
        </w:rPr>
        <w:t>ّ</w:t>
      </w:r>
      <w:r w:rsidRPr="00091FED">
        <w:rPr>
          <w:rFonts w:cs="Abz-2 (Badr)"/>
          <w:color w:val="0070C0"/>
          <w:sz w:val="28"/>
          <w:szCs w:val="28"/>
          <w:rtl/>
        </w:rPr>
        <w:t xml:space="preserve"> نفسها وللأب، فأمّا غيرهما فليس لأحد ولاية عليه سوى الجد من قبل الأب خاص</w:t>
      </w:r>
      <w:r w:rsidRPr="00091FED">
        <w:rPr>
          <w:rFonts w:cs="Abz-2 (Badr)" w:hint="cs"/>
          <w:color w:val="0070C0"/>
          <w:sz w:val="28"/>
          <w:szCs w:val="28"/>
          <w:rtl/>
        </w:rPr>
        <w:t>ّ</w:t>
      </w:r>
      <w:r w:rsidRPr="00091FED">
        <w:rPr>
          <w:rFonts w:cs="Abz-2 (Badr)"/>
          <w:color w:val="0070C0"/>
          <w:sz w:val="28"/>
          <w:szCs w:val="28"/>
          <w:rtl/>
        </w:rPr>
        <w:t>ة</w:t>
      </w:r>
      <w:r w:rsidRPr="00091FED">
        <w:rPr>
          <w:rFonts w:cs="Abz-2 (Badr)" w:hint="cs"/>
          <w:color w:val="0070C0"/>
          <w:sz w:val="28"/>
          <w:szCs w:val="28"/>
          <w:rtl/>
        </w:rPr>
        <w:t>.»</w:t>
      </w:r>
      <w:r w:rsidRPr="00A01D2F">
        <w:rPr>
          <w:rFonts w:cs="Abz-2 (Badr)"/>
          <w:color w:val="000000" w:themeColor="text1"/>
          <w:sz w:val="28"/>
          <w:szCs w:val="28"/>
          <w:vertAlign w:val="superscript"/>
          <w:rtl/>
          <w:lang w:bidi="ar"/>
        </w:rPr>
        <w:footnoteReference w:id="8"/>
      </w:r>
    </w:p>
    <w:p w14:paraId="13F75860" w14:textId="77777777" w:rsidR="003A098C" w:rsidRPr="00832AAD"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lang w:bidi="ar"/>
        </w:rPr>
      </w:pPr>
      <w:bookmarkStart w:id="3" w:name="_Hlk198370536"/>
      <w:r>
        <w:rPr>
          <w:rFonts w:cs="Abz-2 (Badr)" w:hint="cs"/>
          <w:color w:val="000000" w:themeColor="text1"/>
          <w:sz w:val="28"/>
          <w:szCs w:val="28"/>
          <w:rtl/>
          <w:lang w:bidi="fa-IR"/>
        </w:rPr>
        <w:t>سيّد عاملی نيز در تأييد مدعای ابن ادريس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832AAD">
        <w:rPr>
          <w:rFonts w:cs="Abz-2 (Badr)" w:hint="cs"/>
          <w:color w:val="0070C0"/>
          <w:sz w:val="28"/>
          <w:szCs w:val="28"/>
          <w:rtl/>
          <w:lang w:bidi="fa-IR"/>
        </w:rPr>
        <w:t>«</w:t>
      </w:r>
      <w:r w:rsidRPr="00832AAD">
        <w:rPr>
          <w:rFonts w:cs="Abz-2 (Badr)"/>
          <w:color w:val="0070C0"/>
          <w:sz w:val="28"/>
          <w:szCs w:val="28"/>
          <w:rtl/>
          <w:lang w:bidi="ar"/>
        </w:rPr>
        <w:t>يظهر من المصن</w:t>
      </w:r>
      <w:r w:rsidRPr="00832AAD">
        <w:rPr>
          <w:rFonts w:cs="Abz-2 (Badr)" w:hint="cs"/>
          <w:color w:val="0070C0"/>
          <w:sz w:val="28"/>
          <w:szCs w:val="28"/>
          <w:rtl/>
          <w:lang w:bidi="ar"/>
        </w:rPr>
        <w:t>ّ</w:t>
      </w:r>
      <w:r w:rsidRPr="00832AAD">
        <w:rPr>
          <w:rFonts w:cs="Abz-2 (Badr)"/>
          <w:color w:val="0070C0"/>
          <w:sz w:val="28"/>
          <w:szCs w:val="28"/>
          <w:rtl/>
          <w:lang w:bidi="ar"/>
        </w:rPr>
        <w:t>ف في الشرائع الميل إلى هذا القول، ولا يخفى وجاهته.</w:t>
      </w:r>
    </w:p>
    <w:p w14:paraId="1306146C" w14:textId="77777777" w:rsidR="003A098C" w:rsidRPr="00832AAD"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832AAD">
        <w:rPr>
          <w:rFonts w:cs="Abz-2 (Badr)"/>
          <w:color w:val="0070C0"/>
          <w:sz w:val="28"/>
          <w:szCs w:val="28"/>
          <w:rtl/>
          <w:lang w:bidi="ar"/>
        </w:rPr>
        <w:t>و</w:t>
      </w:r>
      <w:r w:rsidRPr="00832AAD">
        <w:rPr>
          <w:rFonts w:cs="Abz-2 (Badr)" w:hint="cs"/>
          <w:color w:val="0070C0"/>
          <w:sz w:val="28"/>
          <w:szCs w:val="28"/>
          <w:rtl/>
          <w:lang w:bidi="ar"/>
        </w:rPr>
        <w:t>إ</w:t>
      </w:r>
      <w:r w:rsidRPr="00832AAD">
        <w:rPr>
          <w:rFonts w:cs="Abz-2 (Badr)"/>
          <w:color w:val="0070C0"/>
          <w:sz w:val="28"/>
          <w:szCs w:val="28"/>
          <w:rtl/>
          <w:lang w:bidi="ar"/>
        </w:rPr>
        <w:t>ن</w:t>
      </w:r>
      <w:r w:rsidRPr="00832AAD">
        <w:rPr>
          <w:rFonts w:cs="Abz-2 (Badr)" w:hint="cs"/>
          <w:color w:val="0070C0"/>
          <w:sz w:val="28"/>
          <w:szCs w:val="28"/>
          <w:rtl/>
          <w:lang w:bidi="ar"/>
        </w:rPr>
        <w:t>ّ</w:t>
      </w:r>
      <w:r w:rsidRPr="00832AAD">
        <w:rPr>
          <w:rFonts w:cs="Abz-2 (Badr)"/>
          <w:color w:val="0070C0"/>
          <w:sz w:val="28"/>
          <w:szCs w:val="28"/>
          <w:rtl/>
          <w:lang w:bidi="ar"/>
        </w:rPr>
        <w:t>ما قلنا بثبوت الولاية للجدّ من قبل الأب لأنّ‌ له ولاية المال والنكاح</w:t>
      </w:r>
      <w:r w:rsidRPr="00832AAD">
        <w:rPr>
          <w:rFonts w:cs="Abz-2 (Badr)" w:hint="cs"/>
          <w:color w:val="0070C0"/>
          <w:sz w:val="28"/>
          <w:szCs w:val="28"/>
          <w:rtl/>
          <w:lang w:bidi="ar"/>
        </w:rPr>
        <w:t>،</w:t>
      </w:r>
      <w:r w:rsidRPr="00832AAD">
        <w:rPr>
          <w:rFonts w:cs="Abz-2 (Badr)"/>
          <w:color w:val="0070C0"/>
          <w:sz w:val="28"/>
          <w:szCs w:val="28"/>
          <w:rtl/>
          <w:lang w:bidi="ar"/>
        </w:rPr>
        <w:t xml:space="preserve"> فيكون له ولاية التربية بطريق أولى</w:t>
      </w:r>
      <w:r w:rsidRPr="00832AAD">
        <w:rPr>
          <w:rFonts w:cs="Abz-2 (Badr)" w:hint="cs"/>
          <w:color w:val="0070C0"/>
          <w:sz w:val="28"/>
          <w:szCs w:val="28"/>
          <w:rtl/>
          <w:lang w:bidi="ar"/>
        </w:rPr>
        <w:t>،</w:t>
      </w:r>
      <w:r w:rsidRPr="00832AAD">
        <w:rPr>
          <w:rFonts w:cs="Abz-2 (Badr)"/>
          <w:color w:val="0070C0"/>
          <w:sz w:val="28"/>
          <w:szCs w:val="28"/>
          <w:rtl/>
          <w:lang w:bidi="ar"/>
        </w:rPr>
        <w:t xml:space="preserve"> و</w:t>
      </w:r>
      <w:r w:rsidRPr="00832AAD">
        <w:rPr>
          <w:rFonts w:cs="Abz-2 (Badr)" w:hint="cs"/>
          <w:color w:val="0070C0"/>
          <w:sz w:val="28"/>
          <w:szCs w:val="28"/>
          <w:rtl/>
          <w:lang w:bidi="ar"/>
        </w:rPr>
        <w:t>إ</w:t>
      </w:r>
      <w:r w:rsidRPr="00832AAD">
        <w:rPr>
          <w:rFonts w:cs="Abz-2 (Badr)"/>
          <w:color w:val="0070C0"/>
          <w:sz w:val="28"/>
          <w:szCs w:val="28"/>
          <w:rtl/>
          <w:lang w:bidi="ar"/>
        </w:rPr>
        <w:t>ن</w:t>
      </w:r>
      <w:r w:rsidRPr="00832AAD">
        <w:rPr>
          <w:rFonts w:cs="Abz-2 (Badr)" w:hint="cs"/>
          <w:color w:val="0070C0"/>
          <w:sz w:val="28"/>
          <w:szCs w:val="28"/>
          <w:rtl/>
          <w:lang w:bidi="ar"/>
        </w:rPr>
        <w:t>ّ</w:t>
      </w:r>
      <w:r w:rsidRPr="00832AAD">
        <w:rPr>
          <w:rFonts w:cs="Abz-2 (Badr)"/>
          <w:color w:val="0070C0"/>
          <w:sz w:val="28"/>
          <w:szCs w:val="28"/>
          <w:rtl/>
          <w:lang w:bidi="ar"/>
        </w:rPr>
        <w:t>ما كانت الأ</w:t>
      </w:r>
      <w:r w:rsidRPr="00832AAD">
        <w:rPr>
          <w:rFonts w:cs="Abz-2 (Badr)" w:hint="cs"/>
          <w:color w:val="0070C0"/>
          <w:sz w:val="28"/>
          <w:szCs w:val="28"/>
          <w:rtl/>
          <w:lang w:bidi="ar"/>
        </w:rPr>
        <w:t>ُ</w:t>
      </w:r>
      <w:r w:rsidRPr="00832AAD">
        <w:rPr>
          <w:rFonts w:cs="Abz-2 (Badr)"/>
          <w:color w:val="0070C0"/>
          <w:sz w:val="28"/>
          <w:szCs w:val="28"/>
          <w:rtl/>
          <w:lang w:bidi="ar"/>
        </w:rPr>
        <w:t>م</w:t>
      </w:r>
      <w:r w:rsidRPr="00832AAD">
        <w:rPr>
          <w:rFonts w:cs="Abz-2 (Badr)" w:hint="cs"/>
          <w:color w:val="0070C0"/>
          <w:sz w:val="28"/>
          <w:szCs w:val="28"/>
          <w:rtl/>
          <w:lang w:bidi="ar"/>
        </w:rPr>
        <w:t>ّ</w:t>
      </w:r>
      <w:r w:rsidRPr="00832AAD">
        <w:rPr>
          <w:rFonts w:cs="Abz-2 (Badr)"/>
          <w:color w:val="0070C0"/>
          <w:sz w:val="28"/>
          <w:szCs w:val="28"/>
          <w:rtl/>
          <w:lang w:bidi="ar"/>
        </w:rPr>
        <w:t xml:space="preserve"> أولى منه بالنص</w:t>
      </w:r>
      <w:r w:rsidRPr="00832AAD">
        <w:rPr>
          <w:rFonts w:cs="Abz-2 (Badr)" w:hint="cs"/>
          <w:color w:val="0070C0"/>
          <w:sz w:val="28"/>
          <w:szCs w:val="28"/>
          <w:rtl/>
          <w:lang w:bidi="ar"/>
        </w:rPr>
        <w:t>ّ</w:t>
      </w:r>
      <w:r w:rsidRPr="00832AAD">
        <w:rPr>
          <w:rFonts w:cs="Abz-2 (Badr)"/>
          <w:color w:val="0070C0"/>
          <w:sz w:val="28"/>
          <w:szCs w:val="28"/>
          <w:rtl/>
          <w:lang w:bidi="ar"/>
        </w:rPr>
        <w:t>، فمع عدمها وعدم من هو أولى منه</w:t>
      </w:r>
      <w:r w:rsidRPr="00832AAD">
        <w:rPr>
          <w:rFonts w:cs="Abz-2 (Badr)" w:hint="cs"/>
          <w:color w:val="0070C0"/>
          <w:sz w:val="28"/>
          <w:szCs w:val="28"/>
          <w:rtl/>
          <w:lang w:bidi="ar"/>
        </w:rPr>
        <w:t>،</w:t>
      </w:r>
      <w:r w:rsidRPr="00832AAD">
        <w:rPr>
          <w:rFonts w:cs="Abz-2 (Badr)"/>
          <w:color w:val="0070C0"/>
          <w:sz w:val="28"/>
          <w:szCs w:val="28"/>
          <w:rtl/>
          <w:lang w:bidi="ar"/>
        </w:rPr>
        <w:t xml:space="preserve"> ثبتت له الولاية</w:t>
      </w:r>
      <w:r w:rsidRPr="00832AAD">
        <w:rPr>
          <w:rFonts w:cs="Abz-2 (Badr)" w:hint="cs"/>
          <w:color w:val="0070C0"/>
          <w:sz w:val="28"/>
          <w:szCs w:val="28"/>
          <w:rtl/>
          <w:lang w:bidi="ar"/>
        </w:rPr>
        <w:t>.</w:t>
      </w:r>
    </w:p>
    <w:p w14:paraId="6B4A39E4" w14:textId="77777777" w:rsidR="003A098C" w:rsidRDefault="003A098C" w:rsidP="003A098C">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sidRPr="00832AAD">
        <w:rPr>
          <w:rFonts w:cs="Abz-2 (Badr)"/>
          <w:color w:val="0070C0"/>
          <w:sz w:val="28"/>
          <w:szCs w:val="28"/>
          <w:rtl/>
          <w:lang w:bidi="ar"/>
        </w:rPr>
        <w:t>وعلى هذا فلو فقد الأبوان والجدّ، ف</w:t>
      </w:r>
      <w:r w:rsidRPr="00832AAD">
        <w:rPr>
          <w:rFonts w:cs="Abz-2 (Badr)" w:hint="cs"/>
          <w:color w:val="0070C0"/>
          <w:sz w:val="28"/>
          <w:szCs w:val="28"/>
          <w:rtl/>
          <w:lang w:bidi="ar"/>
        </w:rPr>
        <w:t>إ</w:t>
      </w:r>
      <w:r w:rsidRPr="00832AAD">
        <w:rPr>
          <w:rFonts w:cs="Abz-2 (Badr)"/>
          <w:color w:val="0070C0"/>
          <w:sz w:val="28"/>
          <w:szCs w:val="28"/>
          <w:rtl/>
          <w:lang w:bidi="ar"/>
        </w:rPr>
        <w:t>ن كان للولد مال</w:t>
      </w:r>
      <w:r w:rsidRPr="00832AAD">
        <w:rPr>
          <w:rFonts w:cs="Abz-2 (Badr)" w:hint="cs"/>
          <w:color w:val="0070C0"/>
          <w:sz w:val="28"/>
          <w:szCs w:val="28"/>
          <w:rtl/>
          <w:lang w:bidi="ar"/>
        </w:rPr>
        <w:t>،</w:t>
      </w:r>
      <w:r w:rsidRPr="00832AAD">
        <w:rPr>
          <w:rFonts w:cs="Abz-2 (Badr)"/>
          <w:color w:val="0070C0"/>
          <w:sz w:val="28"/>
          <w:szCs w:val="28"/>
          <w:rtl/>
          <w:lang w:bidi="ar"/>
        </w:rPr>
        <w:t xml:space="preserve"> استأجر الحاكم عليه من يربّيه من ماله، و</w:t>
      </w:r>
      <w:r w:rsidRPr="00832AAD">
        <w:rPr>
          <w:rFonts w:cs="Abz-2 (Badr)" w:hint="cs"/>
          <w:color w:val="0070C0"/>
          <w:sz w:val="28"/>
          <w:szCs w:val="28"/>
          <w:rtl/>
          <w:lang w:bidi="ar"/>
        </w:rPr>
        <w:t>إ</w:t>
      </w:r>
      <w:r w:rsidRPr="00832AAD">
        <w:rPr>
          <w:rFonts w:cs="Abz-2 (Badr)"/>
          <w:color w:val="0070C0"/>
          <w:sz w:val="28"/>
          <w:szCs w:val="28"/>
          <w:rtl/>
          <w:lang w:bidi="ar"/>
        </w:rPr>
        <w:t>ن لم يكن له مال</w:t>
      </w:r>
      <w:r w:rsidRPr="00832AAD">
        <w:rPr>
          <w:rFonts w:cs="Abz-2 (Badr)" w:hint="cs"/>
          <w:color w:val="0070C0"/>
          <w:sz w:val="28"/>
          <w:szCs w:val="28"/>
          <w:rtl/>
          <w:lang w:bidi="ar"/>
        </w:rPr>
        <w:t>،</w:t>
      </w:r>
      <w:r w:rsidRPr="00832AAD">
        <w:rPr>
          <w:rFonts w:cs="Abz-2 (Badr)"/>
          <w:color w:val="0070C0"/>
          <w:sz w:val="28"/>
          <w:szCs w:val="28"/>
          <w:rtl/>
          <w:lang w:bidi="ar"/>
        </w:rPr>
        <w:t xml:space="preserve"> كان حكم تربيته حكم الإنفاق عليه، فيجب على المؤمنين كفائة</w:t>
      </w:r>
      <w:r w:rsidRPr="00832AAD">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9"/>
      </w:r>
    </w:p>
    <w:p w14:paraId="199BC4AF" w14:textId="77777777" w:rsidR="003A098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color w:val="000000" w:themeColor="text1"/>
          <w:sz w:val="28"/>
          <w:szCs w:val="28"/>
          <w:rtl/>
          <w:lang w:bidi="fa-IR"/>
        </w:rPr>
        <w:lastRenderedPageBreak/>
        <w:t xml:space="preserve">کاشف اللثام نيز فرموده است: </w:t>
      </w:r>
      <w:r w:rsidRPr="00832AAD">
        <w:rPr>
          <w:rFonts w:cs="Abz-2 (Badr)" w:hint="cs"/>
          <w:color w:val="0070C0"/>
          <w:sz w:val="28"/>
          <w:szCs w:val="28"/>
          <w:rtl/>
          <w:lang w:bidi="fa-IR"/>
        </w:rPr>
        <w:t>«</w:t>
      </w:r>
      <w:r w:rsidRPr="00832AAD">
        <w:rPr>
          <w:rFonts w:cs="Abz-2 (Badr)"/>
          <w:color w:val="0070C0"/>
          <w:sz w:val="28"/>
          <w:szCs w:val="28"/>
          <w:rtl/>
          <w:lang w:bidi="ar"/>
        </w:rPr>
        <w:t>أنكر ابن إدريس ثبوت الحضانة لغير الأبوين والجدّ للأب، وهو قويّ</w:t>
      </w:r>
      <w:r w:rsidRPr="00832AAD">
        <w:rPr>
          <w:rFonts w:cs="Abz-2 (Badr)" w:hint="cs"/>
          <w:color w:val="0070C0"/>
          <w:sz w:val="28"/>
          <w:szCs w:val="28"/>
          <w:rtl/>
          <w:lang w:bidi="ar"/>
        </w:rPr>
        <w:t>،</w:t>
      </w:r>
      <w:r w:rsidRPr="00832AAD">
        <w:rPr>
          <w:rFonts w:cs="Abz-2 (Badr)"/>
          <w:color w:val="0070C0"/>
          <w:sz w:val="28"/>
          <w:szCs w:val="28"/>
          <w:rtl/>
          <w:lang w:bidi="ar"/>
        </w:rPr>
        <w:t xml:space="preserve"> للأصل، وخلوّ النصوص عندنا عن غير الأبوين، وأمّا الجدّ للأب فله الولاية بالأصالة</w:t>
      </w:r>
      <w:r w:rsidRPr="00832AAD">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10"/>
      </w:r>
    </w:p>
    <w:p w14:paraId="07D533F0" w14:textId="77777777" w:rsidR="003A098C" w:rsidRPr="00832AAD" w:rsidRDefault="003A098C" w:rsidP="003A098C">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صاحب حدائق نيز مؤيّد همين قول است.</w:t>
      </w:r>
      <w:r w:rsidRPr="00A01D2F">
        <w:rPr>
          <w:rFonts w:cs="Abz-2 (Badr)"/>
          <w:color w:val="000000" w:themeColor="text1"/>
          <w:sz w:val="28"/>
          <w:szCs w:val="28"/>
          <w:vertAlign w:val="superscript"/>
          <w:rtl/>
          <w:lang w:bidi="ar"/>
        </w:rPr>
        <w:footnoteReference w:id="11"/>
      </w:r>
    </w:p>
    <w:p w14:paraId="193620CF" w14:textId="77777777" w:rsidR="003A098C" w:rsidRPr="000476E3"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rPr>
      </w:pPr>
      <w:r>
        <w:rPr>
          <w:rFonts w:cs="Abz-2 (Badr)" w:hint="cs"/>
          <w:color w:val="000000" w:themeColor="text1"/>
          <w:sz w:val="28"/>
          <w:szCs w:val="28"/>
          <w:rtl/>
          <w:lang w:bidi="fa-IR"/>
        </w:rPr>
        <w:t xml:space="preserve">اما علامه در پاسخ به ابن ادريس فرموده است: </w:t>
      </w:r>
      <w:r w:rsidRPr="000476E3">
        <w:rPr>
          <w:rFonts w:cs="Abz-2 (Badr)" w:hint="cs"/>
          <w:color w:val="0070C0"/>
          <w:sz w:val="28"/>
          <w:szCs w:val="28"/>
          <w:rtl/>
        </w:rPr>
        <w:t>«</w:t>
      </w:r>
      <w:r w:rsidRPr="000476E3">
        <w:rPr>
          <w:rFonts w:cs="Abz-2 (Badr)"/>
          <w:color w:val="0070C0"/>
          <w:sz w:val="28"/>
          <w:szCs w:val="28"/>
          <w:rtl/>
        </w:rPr>
        <w:t>هذا القول جهل منه وقلّة تأمّل لفتاو</w:t>
      </w:r>
      <w:r>
        <w:rPr>
          <w:rFonts w:cs="Abz-2 (Badr)" w:hint="cs"/>
          <w:color w:val="0070C0"/>
          <w:sz w:val="28"/>
          <w:szCs w:val="28"/>
          <w:rtl/>
        </w:rPr>
        <w:t>ی</w:t>
      </w:r>
      <w:r w:rsidRPr="000476E3">
        <w:rPr>
          <w:rFonts w:cs="Abz-2 (Badr)"/>
          <w:color w:val="0070C0"/>
          <w:sz w:val="28"/>
          <w:szCs w:val="28"/>
          <w:rtl/>
        </w:rPr>
        <w:t xml:space="preserve"> الأصحاب</w:t>
      </w:r>
      <w:r>
        <w:rPr>
          <w:rFonts w:cs="Abz-2 (Badr)" w:hint="cs"/>
          <w:color w:val="0070C0"/>
          <w:sz w:val="28"/>
          <w:szCs w:val="28"/>
          <w:rtl/>
        </w:rPr>
        <w:t>...</w:t>
      </w:r>
      <w:r w:rsidRPr="000476E3">
        <w:rPr>
          <w:rFonts w:cs="Abz-2 (Badr)"/>
          <w:color w:val="0070C0"/>
          <w:sz w:val="28"/>
          <w:szCs w:val="28"/>
          <w:rtl/>
        </w:rPr>
        <w:t xml:space="preserve"> </w:t>
      </w:r>
    </w:p>
    <w:p w14:paraId="4C955587" w14:textId="77777777" w:rsidR="003A098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rPr>
      </w:pPr>
      <w:r w:rsidRPr="000476E3">
        <w:rPr>
          <w:rFonts w:cs="Abz-2 (Badr)"/>
          <w:color w:val="0070C0"/>
          <w:sz w:val="28"/>
          <w:szCs w:val="28"/>
          <w:rtl/>
        </w:rPr>
        <w:t>وبالجملة فالحاجة ماسّة إلى تربيته وحضانته، فلو لم يكن القريب أولى بكفالته لزم تضييعه، وولاية الجدّ للأب في المال لا تستلزم أولوي</w:t>
      </w:r>
      <w:r>
        <w:rPr>
          <w:rFonts w:cs="Abz-2 (Badr)" w:hint="cs"/>
          <w:color w:val="0070C0"/>
          <w:sz w:val="28"/>
          <w:szCs w:val="28"/>
          <w:rtl/>
        </w:rPr>
        <w:t>ّ</w:t>
      </w:r>
      <w:r w:rsidRPr="000476E3">
        <w:rPr>
          <w:rFonts w:cs="Abz-2 (Badr)"/>
          <w:color w:val="0070C0"/>
          <w:sz w:val="28"/>
          <w:szCs w:val="28"/>
          <w:rtl/>
        </w:rPr>
        <w:t>ته في الحضانة، فإنّه لو اعتبر ولاية المال كان الأب أحقّ‌ من ال</w:t>
      </w:r>
      <w:r>
        <w:rPr>
          <w:rFonts w:cs="Abz-2 (Badr)" w:hint="cs"/>
          <w:color w:val="0070C0"/>
          <w:sz w:val="28"/>
          <w:szCs w:val="28"/>
          <w:rtl/>
        </w:rPr>
        <w:t>أُ</w:t>
      </w:r>
      <w:r w:rsidRPr="000476E3">
        <w:rPr>
          <w:rFonts w:cs="Abz-2 (Badr)"/>
          <w:color w:val="0070C0"/>
          <w:sz w:val="28"/>
          <w:szCs w:val="28"/>
          <w:rtl/>
        </w:rPr>
        <w:t>م</w:t>
      </w:r>
      <w:r>
        <w:rPr>
          <w:rFonts w:cs="Abz-2 (Badr)" w:hint="cs"/>
          <w:color w:val="0070C0"/>
          <w:sz w:val="28"/>
          <w:szCs w:val="28"/>
          <w:rtl/>
        </w:rPr>
        <w:t>ّ</w:t>
      </w:r>
      <w:r w:rsidRPr="000476E3">
        <w:rPr>
          <w:rFonts w:cs="Abz-2 (Badr)"/>
          <w:color w:val="0070C0"/>
          <w:sz w:val="28"/>
          <w:szCs w:val="28"/>
          <w:rtl/>
        </w:rPr>
        <w:t>، والجدّ مع عدم الأب أولى منها، وليس كذلك بالإجماع.</w:t>
      </w:r>
      <w:r>
        <w:rPr>
          <w:rFonts w:cs="Abz-2 (Badr)" w:hint="cs"/>
          <w:color w:val="0070C0"/>
          <w:sz w:val="28"/>
          <w:szCs w:val="28"/>
          <w:rtl/>
        </w:rPr>
        <w:t>»</w:t>
      </w:r>
      <w:r w:rsidRPr="00A01D2F">
        <w:rPr>
          <w:rFonts w:cs="Abz-2 (Badr)"/>
          <w:color w:val="000000" w:themeColor="text1"/>
          <w:sz w:val="28"/>
          <w:szCs w:val="28"/>
          <w:vertAlign w:val="superscript"/>
          <w:rtl/>
          <w:lang w:bidi="ar"/>
        </w:rPr>
        <w:footnoteReference w:id="12"/>
      </w:r>
    </w:p>
    <w:p w14:paraId="17FEFBF4" w14:textId="77777777" w:rsidR="003A098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rPr>
      </w:pPr>
      <w:r w:rsidRPr="00D44ADF">
        <w:rPr>
          <w:rFonts w:cs="Abz-2 (Badr)" w:hint="cs"/>
          <w:color w:val="000000" w:themeColor="text1"/>
          <w:sz w:val="28"/>
          <w:szCs w:val="28"/>
          <w:rtl/>
        </w:rPr>
        <w:t xml:space="preserve">البته </w:t>
      </w:r>
      <w:r>
        <w:rPr>
          <w:rFonts w:cs="Abz-2 (Badr)" w:hint="cs"/>
          <w:color w:val="000000" w:themeColor="text1"/>
          <w:sz w:val="28"/>
          <w:szCs w:val="28"/>
          <w:rtl/>
        </w:rPr>
        <w:t>ايشان</w:t>
      </w:r>
      <w:r w:rsidRPr="00D44ADF">
        <w:rPr>
          <w:rFonts w:cs="Abz-2 (Badr)" w:hint="cs"/>
          <w:color w:val="000000" w:themeColor="text1"/>
          <w:sz w:val="28"/>
          <w:szCs w:val="28"/>
          <w:rtl/>
        </w:rPr>
        <w:t xml:space="preserve"> در قواعد بر خلاف فرمايش خود در مختلف می</w:t>
      </w:r>
      <w:r w:rsidRPr="00D44ADF">
        <w:rPr>
          <w:rFonts w:cs="Abz-2 (Badr)"/>
          <w:color w:val="000000" w:themeColor="text1"/>
          <w:sz w:val="28"/>
          <w:szCs w:val="28"/>
          <w:rtl/>
        </w:rPr>
        <w:softHyphen/>
      </w:r>
      <w:r w:rsidRPr="00D44ADF">
        <w:rPr>
          <w:rFonts w:cs="Abz-2 (Badr)" w:hint="cs"/>
          <w:color w:val="000000" w:themeColor="text1"/>
          <w:sz w:val="28"/>
          <w:szCs w:val="28"/>
          <w:rtl/>
        </w:rPr>
        <w:t xml:space="preserve">فرمايد: </w:t>
      </w:r>
      <w:r>
        <w:rPr>
          <w:rFonts w:cs="Abz-2 (Badr)" w:hint="cs"/>
          <w:color w:val="0070C0"/>
          <w:sz w:val="28"/>
          <w:szCs w:val="28"/>
          <w:rtl/>
        </w:rPr>
        <w:t>«</w:t>
      </w:r>
      <w:r w:rsidRPr="00D44ADF">
        <w:rPr>
          <w:rFonts w:cs="Abz-2 (Badr)"/>
          <w:color w:val="0070C0"/>
          <w:sz w:val="28"/>
          <w:szCs w:val="28"/>
          <w:rtl/>
        </w:rPr>
        <w:t>لو فقد الأبوان فالجدّ للأب أولى، فإن فقد فالأقارب على مراتب الإرث</w:t>
      </w:r>
      <w:r w:rsidRPr="00D44ADF">
        <w:rPr>
          <w:rFonts w:cs="Abz-2 (Badr)" w:hint="cs"/>
          <w:color w:val="0070C0"/>
          <w:sz w:val="28"/>
          <w:szCs w:val="28"/>
          <w:rtl/>
        </w:rPr>
        <w:t>.»</w:t>
      </w:r>
      <w:r w:rsidRPr="00A01D2F">
        <w:rPr>
          <w:rFonts w:cs="Abz-2 (Badr)"/>
          <w:color w:val="000000" w:themeColor="text1"/>
          <w:sz w:val="28"/>
          <w:szCs w:val="28"/>
          <w:vertAlign w:val="superscript"/>
          <w:rtl/>
          <w:lang w:bidi="ar"/>
        </w:rPr>
        <w:footnoteReference w:id="13"/>
      </w:r>
    </w:p>
    <w:p w14:paraId="2C14864D" w14:textId="77777777" w:rsidR="003A098C" w:rsidRDefault="003A098C" w:rsidP="003A098C">
      <w:pPr>
        <w:pStyle w:val="NormalWeb"/>
        <w:widowControl w:val="0"/>
        <w:bidi/>
        <w:spacing w:before="0" w:beforeAutospacing="0" w:after="0" w:afterAutospacing="0" w:line="259" w:lineRule="auto"/>
        <w:ind w:firstLine="284"/>
        <w:jc w:val="both"/>
        <w:rPr>
          <w:rFonts w:cs="Abz-2 (Badr)"/>
          <w:color w:val="0070C0"/>
          <w:sz w:val="28"/>
          <w:szCs w:val="28"/>
          <w:rtl/>
        </w:rPr>
      </w:pPr>
      <w:bookmarkStart w:id="4" w:name="_Hlk198370634"/>
      <w:r w:rsidRPr="00D23A51">
        <w:rPr>
          <w:rFonts w:cs="Abz-2 (Badr)" w:hint="cs"/>
          <w:color w:val="000000" w:themeColor="text1"/>
          <w:sz w:val="28"/>
          <w:szCs w:val="28"/>
          <w:rtl/>
        </w:rPr>
        <w:t xml:space="preserve">صاحب جواهر نيز فرموده است: </w:t>
      </w:r>
      <w:r>
        <w:rPr>
          <w:rFonts w:cs="Abz-2 (Badr)" w:hint="cs"/>
          <w:color w:val="0070C0"/>
          <w:sz w:val="28"/>
          <w:szCs w:val="28"/>
          <w:rtl/>
        </w:rPr>
        <w:t>«</w:t>
      </w:r>
      <w:r w:rsidRPr="00D23A51">
        <w:rPr>
          <w:rFonts w:cs="Abz-2 (Badr)"/>
          <w:color w:val="0070C0"/>
          <w:sz w:val="28"/>
          <w:szCs w:val="28"/>
          <w:rtl/>
          <w:lang w:bidi="ar"/>
        </w:rPr>
        <w:t>والذي يقوى في النظر كونها للجد</w:t>
      </w:r>
      <w:r>
        <w:rPr>
          <w:rFonts w:cs="Abz-2 (Badr)" w:hint="cs"/>
          <w:color w:val="0070C0"/>
          <w:sz w:val="28"/>
          <w:szCs w:val="28"/>
          <w:rtl/>
          <w:lang w:bidi="ar"/>
        </w:rPr>
        <w:t>ّ</w:t>
      </w:r>
      <w:r w:rsidRPr="00D23A51">
        <w:rPr>
          <w:rFonts w:cs="Abz-2 (Badr)"/>
          <w:color w:val="0070C0"/>
          <w:sz w:val="28"/>
          <w:szCs w:val="28"/>
          <w:rtl/>
          <w:lang w:bidi="ar"/>
        </w:rPr>
        <w:t xml:space="preserve"> من قبل الأب بعد فقد الأبوين، ثم</w:t>
      </w:r>
      <w:r>
        <w:rPr>
          <w:rFonts w:cs="Abz-2 (Badr)" w:hint="cs"/>
          <w:color w:val="0070C0"/>
          <w:sz w:val="28"/>
          <w:szCs w:val="28"/>
          <w:rtl/>
          <w:lang w:bidi="ar"/>
        </w:rPr>
        <w:t>ّ</w:t>
      </w:r>
      <w:r w:rsidRPr="00D23A51">
        <w:rPr>
          <w:rFonts w:cs="Abz-2 (Badr)"/>
          <w:color w:val="0070C0"/>
          <w:sz w:val="28"/>
          <w:szCs w:val="28"/>
          <w:rtl/>
          <w:lang w:bidi="ar"/>
        </w:rPr>
        <w:t xml:space="preserve"> للوصي</w:t>
      </w:r>
      <w:r>
        <w:rPr>
          <w:rFonts w:cs="Abz-2 (Badr)" w:hint="cs"/>
          <w:color w:val="0070C0"/>
          <w:sz w:val="28"/>
          <w:szCs w:val="28"/>
          <w:rtl/>
          <w:lang w:bidi="ar"/>
        </w:rPr>
        <w:t>ّ</w:t>
      </w:r>
      <w:r w:rsidRPr="00D23A51">
        <w:rPr>
          <w:rFonts w:cs="Abz-2 (Badr)"/>
          <w:color w:val="0070C0"/>
          <w:sz w:val="28"/>
          <w:szCs w:val="28"/>
          <w:rtl/>
          <w:lang w:bidi="ar"/>
        </w:rPr>
        <w:t xml:space="preserve"> المتأخ</w:t>
      </w:r>
      <w:r>
        <w:rPr>
          <w:rFonts w:cs="Abz-2 (Badr)" w:hint="cs"/>
          <w:color w:val="0070C0"/>
          <w:sz w:val="28"/>
          <w:szCs w:val="28"/>
          <w:rtl/>
          <w:lang w:bidi="ar"/>
        </w:rPr>
        <w:t>ّ</w:t>
      </w:r>
      <w:r w:rsidRPr="00D23A51">
        <w:rPr>
          <w:rFonts w:cs="Abz-2 (Badr)"/>
          <w:color w:val="0070C0"/>
          <w:sz w:val="28"/>
          <w:szCs w:val="28"/>
          <w:rtl/>
          <w:lang w:bidi="ar"/>
        </w:rPr>
        <w:t>ر موته منهما، ثم</w:t>
      </w:r>
      <w:r>
        <w:rPr>
          <w:rFonts w:cs="Abz-2 (Badr)" w:hint="cs"/>
          <w:color w:val="0070C0"/>
          <w:sz w:val="28"/>
          <w:szCs w:val="28"/>
          <w:rtl/>
          <w:lang w:bidi="ar"/>
        </w:rPr>
        <w:t>ّ</w:t>
      </w:r>
      <w:r w:rsidRPr="00D23A51">
        <w:rPr>
          <w:rFonts w:cs="Abz-2 (Badr)"/>
          <w:color w:val="0070C0"/>
          <w:sz w:val="28"/>
          <w:szCs w:val="28"/>
          <w:rtl/>
          <w:lang w:bidi="ar"/>
        </w:rPr>
        <w:t xml:space="preserve"> للأرحام على مراتبهم في الإرث، ثم</w:t>
      </w:r>
      <w:r>
        <w:rPr>
          <w:rFonts w:cs="Abz-2 (Badr)" w:hint="cs"/>
          <w:color w:val="0070C0"/>
          <w:sz w:val="28"/>
          <w:szCs w:val="28"/>
          <w:rtl/>
          <w:lang w:bidi="ar"/>
        </w:rPr>
        <w:t>ّ</w:t>
      </w:r>
      <w:r w:rsidRPr="00D23A51">
        <w:rPr>
          <w:rFonts w:cs="Abz-2 (Badr)"/>
          <w:color w:val="0070C0"/>
          <w:sz w:val="28"/>
          <w:szCs w:val="28"/>
          <w:rtl/>
          <w:lang w:bidi="ar"/>
        </w:rPr>
        <w:t xml:space="preserve"> للحاكم، ثم</w:t>
      </w:r>
      <w:r>
        <w:rPr>
          <w:rFonts w:cs="Abz-2 (Badr)" w:hint="cs"/>
          <w:color w:val="0070C0"/>
          <w:sz w:val="28"/>
          <w:szCs w:val="28"/>
          <w:rtl/>
          <w:lang w:bidi="ar"/>
        </w:rPr>
        <w:t>ّ</w:t>
      </w:r>
      <w:r w:rsidRPr="00D23A51">
        <w:rPr>
          <w:rFonts w:cs="Abz-2 (Badr)"/>
          <w:color w:val="0070C0"/>
          <w:sz w:val="28"/>
          <w:szCs w:val="28"/>
          <w:rtl/>
          <w:lang w:bidi="ar"/>
        </w:rPr>
        <w:t xml:space="preserve"> للمسلمين كفاية</w:t>
      </w:r>
      <w:r>
        <w:rPr>
          <w:rFonts w:cs="Abz-2 (Badr)" w:hint="cs"/>
          <w:color w:val="0070C0"/>
          <w:sz w:val="28"/>
          <w:szCs w:val="28"/>
          <w:rtl/>
          <w:lang w:bidi="ar"/>
        </w:rPr>
        <w:t>.»</w:t>
      </w:r>
      <w:r w:rsidRPr="00A01D2F">
        <w:rPr>
          <w:rFonts w:cs="Abz-2 (Badr)"/>
          <w:color w:val="000000" w:themeColor="text1"/>
          <w:sz w:val="28"/>
          <w:szCs w:val="28"/>
          <w:vertAlign w:val="superscript"/>
          <w:rtl/>
          <w:lang w:bidi="ar"/>
        </w:rPr>
        <w:footnoteReference w:id="14"/>
      </w:r>
    </w:p>
    <w:p w14:paraId="2A70F677" w14:textId="77777777" w:rsidR="003A098C" w:rsidRPr="00D23A51" w:rsidRDefault="003A098C" w:rsidP="003A098C">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sidRPr="00D23A51">
        <w:rPr>
          <w:rFonts w:cs="Abz-2 (Badr)" w:hint="cs"/>
          <w:color w:val="000000" w:themeColor="text1"/>
          <w:sz w:val="28"/>
          <w:szCs w:val="28"/>
          <w:rtl/>
          <w:lang w:bidi="ar"/>
        </w:rPr>
        <w:t>آيت الله خوئی</w:t>
      </w:r>
      <w:r w:rsidRPr="00A01D2F">
        <w:rPr>
          <w:rFonts w:cs="Abz-2 (Badr)"/>
          <w:color w:val="000000" w:themeColor="text1"/>
          <w:sz w:val="28"/>
          <w:szCs w:val="28"/>
          <w:vertAlign w:val="superscript"/>
          <w:rtl/>
          <w:lang w:bidi="ar"/>
        </w:rPr>
        <w:footnoteReference w:id="15"/>
      </w:r>
      <w:r w:rsidRPr="00D23A51">
        <w:rPr>
          <w:rFonts w:cs="Abz-2 (Badr)" w:hint="cs"/>
          <w:color w:val="000000" w:themeColor="text1"/>
          <w:sz w:val="28"/>
          <w:szCs w:val="28"/>
          <w:rtl/>
          <w:lang w:bidi="ar"/>
        </w:rPr>
        <w:t xml:space="preserve"> و آيت الله سيستانی</w:t>
      </w:r>
      <w:r w:rsidRPr="00A01D2F">
        <w:rPr>
          <w:rFonts w:cs="Abz-2 (Badr)"/>
          <w:color w:val="000000" w:themeColor="text1"/>
          <w:sz w:val="28"/>
          <w:szCs w:val="28"/>
          <w:vertAlign w:val="superscript"/>
          <w:rtl/>
          <w:lang w:bidi="ar"/>
        </w:rPr>
        <w:footnoteReference w:id="16"/>
      </w:r>
      <w:r w:rsidRPr="00D23A51">
        <w:rPr>
          <w:rFonts w:cs="Abz-2 (Badr)" w:hint="cs"/>
          <w:color w:val="000000" w:themeColor="text1"/>
          <w:sz w:val="28"/>
          <w:szCs w:val="28"/>
          <w:rtl/>
          <w:lang w:bidi="ar"/>
        </w:rPr>
        <w:t xml:space="preserve"> نيز به مانند صاحب جواهر قائل به ثبوت حضانت برای جد پدری و سپس وصی پدر يا جد پدری شده</w:t>
      </w:r>
      <w:r w:rsidRPr="00D23A51">
        <w:rPr>
          <w:rFonts w:cs="Abz-2 (Badr)"/>
          <w:color w:val="000000" w:themeColor="text1"/>
          <w:sz w:val="28"/>
          <w:szCs w:val="28"/>
          <w:rtl/>
          <w:lang w:bidi="ar"/>
        </w:rPr>
        <w:softHyphen/>
      </w:r>
      <w:r w:rsidRPr="00D23A51">
        <w:rPr>
          <w:rFonts w:cs="Abz-2 (Badr)" w:hint="cs"/>
          <w:color w:val="000000" w:themeColor="text1"/>
          <w:sz w:val="28"/>
          <w:szCs w:val="28"/>
          <w:rtl/>
          <w:lang w:bidi="ar"/>
        </w:rPr>
        <w:t>اند، اما در ثبوت حضانت برای اقارب در صورت فقدان جد پدری و وصی، اشکال کرده</w:t>
      </w:r>
      <w:r w:rsidRPr="00D23A51">
        <w:rPr>
          <w:rFonts w:cs="Abz-2 (Badr)"/>
          <w:color w:val="000000" w:themeColor="text1"/>
          <w:sz w:val="28"/>
          <w:szCs w:val="28"/>
          <w:rtl/>
          <w:lang w:bidi="ar"/>
        </w:rPr>
        <w:softHyphen/>
      </w:r>
      <w:r w:rsidRPr="00D23A51">
        <w:rPr>
          <w:rFonts w:cs="Abz-2 (Badr)" w:hint="cs"/>
          <w:color w:val="000000" w:themeColor="text1"/>
          <w:sz w:val="28"/>
          <w:szCs w:val="28"/>
          <w:rtl/>
          <w:lang w:bidi="ar"/>
        </w:rPr>
        <w:t>اند.</w:t>
      </w:r>
    </w:p>
    <w:p w14:paraId="4AABF970" w14:textId="77777777" w:rsidR="003A098C" w:rsidRPr="00A053FA" w:rsidRDefault="003A098C" w:rsidP="003A098C">
      <w:pPr>
        <w:pStyle w:val="NormalWeb"/>
        <w:widowControl w:val="0"/>
        <w:bidi/>
        <w:spacing w:before="0" w:beforeAutospacing="0" w:after="0" w:afterAutospacing="0" w:line="257"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 xml:space="preserve">اما برای بررسی مسأله بايد ابتدا به اين نکته توجه داشت که بحث در اين مقام، در خصوص اين نيست که کدام يک از اقارب فرزند در صورت فقدان والدين او موظّف به حضانت از وی هستند، چون دليلی برای اين مطلب وجود ندارد </w:t>
      </w:r>
      <w:r>
        <w:rPr>
          <w:rFonts w:cs="Abz-2 (Badr)" w:hint="cs"/>
          <w:color w:val="000000" w:themeColor="text1"/>
          <w:sz w:val="28"/>
          <w:szCs w:val="28"/>
          <w:rtl/>
          <w:lang w:bidi="ar"/>
        </w:rPr>
        <w:lastRenderedPageBreak/>
        <w:t>و بلکه حتی در خصوص پدر و مادر نيز گذشت که تکليفی برای حضانت فرزند متوجه آنان نيست، بلکه محل نزاع در اين است که کدام يک از اقارب فرزند، برای حضانت وی دارای اولويت هستند، بدين معنا که اگر نزاعی در بين آنان برای حضانت فرزند صورت گرفت، کدام يک در اين امر مقدم است؟ و يا اين که حتی اگر نزاعی نيز وجود نداشت و فقط يکی از اقارب درخواست حضانت فرزند را داشت، آيا حق اين را که مدعی حضانت وی شود را داراست يا خير؟ بدين معنا که آيا بر ديگران و يا بر حاکم شرعی لازم است که فرزند را به او تحويل دهند؟</w:t>
      </w:r>
      <w:bookmarkEnd w:id="3"/>
      <w:bookmarkEnd w:id="4"/>
    </w:p>
    <w:bookmarkEnd w:id="1"/>
    <w:bookmarkEnd w:id="2"/>
    <w:p w14:paraId="358854CE" w14:textId="2276C044" w:rsidR="0027088A" w:rsidRPr="003A098C" w:rsidRDefault="0027088A" w:rsidP="003A098C"/>
    <w:sectPr w:rsidR="0027088A" w:rsidRPr="003A098C"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104DF" w14:textId="77777777" w:rsidR="007212A3" w:rsidRDefault="007212A3" w:rsidP="00F71127">
      <w:pPr>
        <w:spacing w:after="0" w:line="240" w:lineRule="auto"/>
      </w:pPr>
      <w:r>
        <w:separator/>
      </w:r>
    </w:p>
  </w:endnote>
  <w:endnote w:type="continuationSeparator" w:id="0">
    <w:p w14:paraId="67A8B446" w14:textId="77777777" w:rsidR="007212A3" w:rsidRDefault="007212A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79D7" w14:textId="77777777" w:rsidR="003A098C" w:rsidRDefault="003A0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3D5F" w14:textId="77777777" w:rsidR="003A098C" w:rsidRDefault="003A0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41F39" w14:textId="77777777" w:rsidR="007212A3" w:rsidRDefault="007212A3" w:rsidP="00EE25C0">
      <w:pPr>
        <w:bidi/>
        <w:spacing w:after="0" w:line="240" w:lineRule="auto"/>
      </w:pPr>
      <w:r>
        <w:separator/>
      </w:r>
    </w:p>
  </w:footnote>
  <w:footnote w:type="continuationSeparator" w:id="0">
    <w:p w14:paraId="3BCFB281" w14:textId="77777777" w:rsidR="007212A3" w:rsidRDefault="007212A3" w:rsidP="00F71127">
      <w:pPr>
        <w:bidi/>
        <w:spacing w:after="0" w:line="240" w:lineRule="auto"/>
      </w:pPr>
      <w:r>
        <w:continuationSeparator/>
      </w:r>
    </w:p>
  </w:footnote>
  <w:footnote w:id="1">
    <w:p w14:paraId="428D1F18"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مختلف،ج7،ص309.</w:t>
      </w:r>
    </w:p>
  </w:footnote>
  <w:footnote w:id="2">
    <w:p w14:paraId="3AEEBAA7"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مقنعه،ص531.</w:t>
      </w:r>
    </w:p>
  </w:footnote>
  <w:footnote w:id="3">
    <w:p w14:paraId="737B77D3"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جواهر،ج31،ص296 و 297.</w:t>
      </w:r>
    </w:p>
  </w:footnote>
  <w:footnote w:id="4">
    <w:p w14:paraId="62B0CDB7"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وسيله،ص288.</w:t>
      </w:r>
    </w:p>
  </w:footnote>
  <w:footnote w:id="5">
    <w:p w14:paraId="33D0CD42"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ارشاد،ج2،ص40.</w:t>
      </w:r>
    </w:p>
  </w:footnote>
  <w:footnote w:id="6">
    <w:p w14:paraId="6C5F2667" w14:textId="77777777" w:rsidR="003A098C" w:rsidRPr="007A4C5F" w:rsidRDefault="003A098C" w:rsidP="003A098C">
      <w:pPr>
        <w:pStyle w:val="FootnoteText"/>
        <w:bidi/>
        <w:jc w:val="both"/>
        <w:rPr>
          <w:rFonts w:cs="Abz-2 (Badr)"/>
          <w:rtl/>
          <w:lang w:bidi="fa-IR"/>
        </w:rPr>
      </w:pPr>
      <w:r w:rsidRPr="00832AAD">
        <w:rPr>
          <w:rStyle w:val="FootnoteReference"/>
          <w:rFonts w:cs="Abz-2 (Badr)"/>
          <w:vertAlign w:val="baseline"/>
        </w:rPr>
        <w:footnoteRef/>
      </w:r>
      <w:r w:rsidRPr="00DB78F7">
        <w:rPr>
          <w:rFonts w:cs="Abz-2 (Badr)"/>
        </w:rPr>
        <w:t xml:space="preserve"> </w:t>
      </w:r>
      <w:r w:rsidRPr="007A4C5F">
        <w:rPr>
          <w:rFonts w:cs="Abz-2 (Badr)" w:hint="cs"/>
          <w:rtl/>
        </w:rPr>
        <w:t xml:space="preserve">ـ </w:t>
      </w:r>
      <w:r>
        <w:rPr>
          <w:rFonts w:cs="Abz-2 (Badr)" w:hint="cs"/>
          <w:rtl/>
        </w:rPr>
        <w:t>انفال(8):75</w:t>
      </w:r>
      <w:r w:rsidRPr="007A4C5F">
        <w:rPr>
          <w:rFonts w:cs="Abz-2 (Badr)" w:hint="cs"/>
          <w:rtl/>
        </w:rPr>
        <w:t>.</w:t>
      </w:r>
    </w:p>
  </w:footnote>
  <w:footnote w:id="7">
    <w:p w14:paraId="19513DEC"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مسالك،ج8،ص430.</w:t>
      </w:r>
    </w:p>
  </w:footnote>
  <w:footnote w:id="8">
    <w:p w14:paraId="5CC14DFD"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کتاب السرائر،ج2،ص654.</w:t>
      </w:r>
    </w:p>
  </w:footnote>
  <w:footnote w:id="9">
    <w:p w14:paraId="7ED9D925"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 xml:space="preserve">ـ </w:t>
      </w:r>
      <w:r>
        <w:rPr>
          <w:rFonts w:cs="Abz-2 (Badr)" w:hint="cs"/>
          <w:rtl/>
        </w:rPr>
        <w:t>نهاية المرام،ج1،ص472</w:t>
      </w:r>
      <w:r w:rsidRPr="00832AAD">
        <w:rPr>
          <w:rFonts w:cs="Abz-2 (Badr)" w:hint="cs"/>
          <w:rtl/>
        </w:rPr>
        <w:t>.</w:t>
      </w:r>
    </w:p>
  </w:footnote>
  <w:footnote w:id="10">
    <w:p w14:paraId="066C5269"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 xml:space="preserve">ـ </w:t>
      </w:r>
      <w:r>
        <w:rPr>
          <w:rFonts w:cs="Abz-2 (Badr)" w:hint="cs"/>
          <w:rtl/>
        </w:rPr>
        <w:t>کشف اللثام</w:t>
      </w:r>
      <w:r w:rsidRPr="00832AAD">
        <w:rPr>
          <w:rFonts w:cs="Abz-2 (Badr)" w:hint="cs"/>
          <w:rtl/>
        </w:rPr>
        <w:t>،ج</w:t>
      </w:r>
      <w:r>
        <w:rPr>
          <w:rFonts w:cs="Abz-2 (Badr)" w:hint="cs"/>
          <w:rtl/>
        </w:rPr>
        <w:t>7</w:t>
      </w:r>
      <w:r w:rsidRPr="00832AAD">
        <w:rPr>
          <w:rFonts w:cs="Abz-2 (Badr)" w:hint="cs"/>
          <w:rtl/>
        </w:rPr>
        <w:t>،ص</w:t>
      </w:r>
      <w:r>
        <w:rPr>
          <w:rFonts w:cs="Abz-2 (Badr)" w:hint="cs"/>
          <w:rtl/>
        </w:rPr>
        <w:t>555</w:t>
      </w:r>
      <w:r w:rsidRPr="00832AAD">
        <w:rPr>
          <w:rFonts w:cs="Abz-2 (Badr)" w:hint="cs"/>
          <w:rtl/>
        </w:rPr>
        <w:t>.</w:t>
      </w:r>
    </w:p>
  </w:footnote>
  <w:footnote w:id="11">
    <w:p w14:paraId="04A24444"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 xml:space="preserve">ـ </w:t>
      </w:r>
      <w:r>
        <w:rPr>
          <w:rFonts w:cs="Abz-2 (Badr)" w:hint="cs"/>
          <w:rtl/>
        </w:rPr>
        <w:t>حدائق</w:t>
      </w:r>
      <w:r w:rsidRPr="00832AAD">
        <w:rPr>
          <w:rFonts w:cs="Abz-2 (Badr)" w:hint="cs"/>
          <w:rtl/>
        </w:rPr>
        <w:t>،ج</w:t>
      </w:r>
      <w:r>
        <w:rPr>
          <w:rFonts w:cs="Abz-2 (Badr)" w:hint="cs"/>
          <w:rtl/>
        </w:rPr>
        <w:t>25</w:t>
      </w:r>
      <w:r w:rsidRPr="00832AAD">
        <w:rPr>
          <w:rFonts w:cs="Abz-2 (Badr)" w:hint="cs"/>
          <w:rtl/>
        </w:rPr>
        <w:t>،ص</w:t>
      </w:r>
      <w:r>
        <w:rPr>
          <w:rFonts w:cs="Abz-2 (Badr)" w:hint="cs"/>
          <w:rtl/>
        </w:rPr>
        <w:t>97</w:t>
      </w:r>
      <w:r w:rsidRPr="00832AAD">
        <w:rPr>
          <w:rFonts w:cs="Abz-2 (Badr)" w:hint="cs"/>
          <w:rtl/>
        </w:rPr>
        <w:t>.</w:t>
      </w:r>
    </w:p>
  </w:footnote>
  <w:footnote w:id="12">
    <w:p w14:paraId="60218811" w14:textId="77777777" w:rsidR="003A098C" w:rsidRPr="00832AAD" w:rsidRDefault="003A098C" w:rsidP="003A098C">
      <w:pPr>
        <w:pStyle w:val="FootnoteText"/>
        <w:bidi/>
        <w:jc w:val="both"/>
        <w:rPr>
          <w:rFonts w:cs="Abz-2 (Badr)"/>
          <w:rtl/>
          <w:lang w:bidi="fa-IR"/>
        </w:rPr>
      </w:pPr>
      <w:r w:rsidRPr="00832AAD">
        <w:rPr>
          <w:rStyle w:val="FootnoteReference"/>
          <w:rFonts w:cs="Abz-2 (Badr)"/>
          <w:vertAlign w:val="baseline"/>
        </w:rPr>
        <w:footnoteRef/>
      </w:r>
      <w:r w:rsidRPr="00832AAD">
        <w:rPr>
          <w:rFonts w:cs="Abz-2 (Badr)"/>
        </w:rPr>
        <w:t xml:space="preserve"> </w:t>
      </w:r>
      <w:r w:rsidRPr="00832AAD">
        <w:rPr>
          <w:rFonts w:cs="Abz-2 (Badr)" w:hint="cs"/>
          <w:rtl/>
        </w:rPr>
        <w:t>ـ مختلف،ج7،ص313 و 314.</w:t>
      </w:r>
    </w:p>
  </w:footnote>
  <w:footnote w:id="13">
    <w:p w14:paraId="016DEA31" w14:textId="77777777" w:rsidR="003A098C" w:rsidRPr="007A4C5F" w:rsidRDefault="003A098C" w:rsidP="003A098C">
      <w:pPr>
        <w:pStyle w:val="FootnoteText"/>
        <w:bidi/>
        <w:jc w:val="both"/>
        <w:rPr>
          <w:rFonts w:cs="Abz-2 (Badr)"/>
          <w:rtl/>
          <w:lang w:bidi="fa-IR"/>
        </w:rPr>
      </w:pPr>
      <w:r w:rsidRPr="00832AAD">
        <w:rPr>
          <w:rStyle w:val="FootnoteReference"/>
          <w:rFonts w:cs="Abz-2 (Badr)"/>
          <w:vertAlign w:val="baseline"/>
        </w:rPr>
        <w:footnoteRef/>
      </w:r>
      <w:r w:rsidRPr="00DB78F7">
        <w:rPr>
          <w:rFonts w:cs="Abz-2 (Badr)"/>
        </w:rPr>
        <w:t xml:space="preserve"> </w:t>
      </w:r>
      <w:r w:rsidRPr="007A4C5F">
        <w:rPr>
          <w:rFonts w:cs="Abz-2 (Badr)" w:hint="cs"/>
          <w:rtl/>
        </w:rPr>
        <w:t xml:space="preserve">ـ </w:t>
      </w:r>
      <w:r>
        <w:rPr>
          <w:rFonts w:cs="Abz-2 (Badr)" w:hint="cs"/>
          <w:rtl/>
        </w:rPr>
        <w:t>قواعد،ج3،ص102</w:t>
      </w:r>
      <w:r w:rsidRPr="007A4C5F">
        <w:rPr>
          <w:rFonts w:cs="Abz-2 (Badr)" w:hint="cs"/>
          <w:rtl/>
        </w:rPr>
        <w:t>.</w:t>
      </w:r>
    </w:p>
  </w:footnote>
  <w:footnote w:id="14">
    <w:p w14:paraId="70BE107F" w14:textId="77777777" w:rsidR="003A098C" w:rsidRPr="007A4C5F" w:rsidRDefault="003A098C" w:rsidP="003A098C">
      <w:pPr>
        <w:pStyle w:val="FootnoteText"/>
        <w:bidi/>
        <w:jc w:val="both"/>
        <w:rPr>
          <w:rFonts w:cs="Abz-2 (Badr)"/>
          <w:rtl/>
          <w:lang w:bidi="fa-IR"/>
        </w:rPr>
      </w:pPr>
      <w:r w:rsidRPr="00832AAD">
        <w:rPr>
          <w:rStyle w:val="FootnoteReference"/>
          <w:rFonts w:cs="Abz-2 (Badr)"/>
          <w:vertAlign w:val="baseline"/>
        </w:rPr>
        <w:footnoteRef/>
      </w:r>
      <w:r w:rsidRPr="00DB78F7">
        <w:rPr>
          <w:rFonts w:cs="Abz-2 (Badr)"/>
        </w:rPr>
        <w:t xml:space="preserve"> </w:t>
      </w:r>
      <w:r w:rsidRPr="007A4C5F">
        <w:rPr>
          <w:rFonts w:cs="Abz-2 (Badr)" w:hint="cs"/>
          <w:rtl/>
        </w:rPr>
        <w:t xml:space="preserve">ـ </w:t>
      </w:r>
      <w:r>
        <w:rPr>
          <w:rFonts w:cs="Abz-2 (Badr)" w:hint="cs"/>
          <w:rtl/>
        </w:rPr>
        <w:t>جواهر،ج31،ص297</w:t>
      </w:r>
      <w:r w:rsidRPr="007A4C5F">
        <w:rPr>
          <w:rFonts w:cs="Abz-2 (Badr)" w:hint="cs"/>
          <w:rtl/>
        </w:rPr>
        <w:t>.</w:t>
      </w:r>
    </w:p>
  </w:footnote>
  <w:footnote w:id="15">
    <w:p w14:paraId="468BC8E8" w14:textId="77777777" w:rsidR="003A098C" w:rsidRPr="007A4C5F" w:rsidRDefault="003A098C" w:rsidP="003A098C">
      <w:pPr>
        <w:pStyle w:val="FootnoteText"/>
        <w:bidi/>
        <w:jc w:val="both"/>
        <w:rPr>
          <w:rFonts w:cs="Abz-2 (Badr)"/>
          <w:rtl/>
          <w:lang w:bidi="fa-IR"/>
        </w:rPr>
      </w:pPr>
      <w:r w:rsidRPr="00832AAD">
        <w:rPr>
          <w:rStyle w:val="FootnoteReference"/>
          <w:rFonts w:cs="Abz-2 (Badr)"/>
          <w:vertAlign w:val="baseline"/>
        </w:rPr>
        <w:footnoteRef/>
      </w:r>
      <w:r w:rsidRPr="00DB78F7">
        <w:rPr>
          <w:rFonts w:cs="Abz-2 (Badr)"/>
        </w:rPr>
        <w:t xml:space="preserve"> </w:t>
      </w:r>
      <w:r w:rsidRPr="007A4C5F">
        <w:rPr>
          <w:rFonts w:cs="Abz-2 (Badr)" w:hint="cs"/>
          <w:rtl/>
        </w:rPr>
        <w:t xml:space="preserve">ـ </w:t>
      </w:r>
      <w:r>
        <w:rPr>
          <w:rFonts w:cs="Abz-2 (Badr)" w:hint="cs"/>
          <w:rtl/>
        </w:rPr>
        <w:t>منهاج الصاحين آيت الله خوئی،ج2،ص286، مسألة 1390</w:t>
      </w:r>
      <w:r w:rsidRPr="007A4C5F">
        <w:rPr>
          <w:rFonts w:cs="Abz-2 (Badr)" w:hint="cs"/>
          <w:rtl/>
        </w:rPr>
        <w:t>.</w:t>
      </w:r>
    </w:p>
  </w:footnote>
  <w:footnote w:id="16">
    <w:p w14:paraId="7BA73987" w14:textId="77777777" w:rsidR="003A098C" w:rsidRPr="007A4C5F" w:rsidRDefault="003A098C" w:rsidP="003A098C">
      <w:pPr>
        <w:pStyle w:val="FootnoteText"/>
        <w:bidi/>
        <w:jc w:val="both"/>
        <w:rPr>
          <w:rFonts w:cs="Abz-2 (Badr)"/>
          <w:rtl/>
          <w:lang w:bidi="fa-IR"/>
        </w:rPr>
      </w:pPr>
      <w:r w:rsidRPr="00832AAD">
        <w:rPr>
          <w:rStyle w:val="FootnoteReference"/>
          <w:rFonts w:cs="Abz-2 (Badr)"/>
          <w:vertAlign w:val="baseline"/>
        </w:rPr>
        <w:footnoteRef/>
      </w:r>
      <w:r w:rsidRPr="00DB78F7">
        <w:rPr>
          <w:rFonts w:cs="Abz-2 (Badr)"/>
        </w:rPr>
        <w:t xml:space="preserve"> </w:t>
      </w:r>
      <w:r w:rsidRPr="007A4C5F">
        <w:rPr>
          <w:rFonts w:cs="Abz-2 (Badr)" w:hint="cs"/>
          <w:rtl/>
        </w:rPr>
        <w:t xml:space="preserve">ـ </w:t>
      </w:r>
      <w:r>
        <w:rPr>
          <w:rFonts w:cs="Abz-2 (Badr)" w:hint="cs"/>
          <w:rtl/>
        </w:rPr>
        <w:t>منهاج الصاحين آيت الله سيستانی،ج3،ص121، مسألة 406</w:t>
      </w:r>
      <w:r w:rsidRPr="007A4C5F">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84F3" w14:textId="77777777" w:rsidR="003A098C" w:rsidRDefault="003A0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D06A102"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3A098C">
                            <w:rPr>
                              <w:rFonts w:cs="B Mehr" w:hint="cs"/>
                              <w:rtl/>
                              <w:lang w:bidi="fa-IR"/>
                            </w:rPr>
                            <w:t>یک</w:t>
                          </w:r>
                          <w:r w:rsidR="001F7B61">
                            <w:rPr>
                              <w:rFonts w:cs="B Mehr" w:hint="cs"/>
                              <w:rtl/>
                              <w:lang w:bidi="fa-IR"/>
                            </w:rPr>
                            <w:t>شنبه</w:t>
                          </w:r>
                          <w:r>
                            <w:rPr>
                              <w:rFonts w:cs="B Mehr" w:hint="cs"/>
                              <w:rtl/>
                              <w:lang w:bidi="fa-IR"/>
                            </w:rPr>
                            <w:t xml:space="preserve"> </w:t>
                          </w:r>
                          <w:r>
                            <w:rPr>
                              <w:rFonts w:cs="B Mehr" w:hint="cs"/>
                              <w:rtl/>
                            </w:rPr>
                            <w:t xml:space="preserve">،   </w:t>
                          </w:r>
                          <w:r w:rsidR="003A098C">
                            <w:rPr>
                              <w:rFonts w:cs="B Mehr" w:hint="cs"/>
                              <w:rtl/>
                              <w:lang w:bidi="fa-IR"/>
                            </w:rPr>
                            <w:t>28</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D06A102"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3A098C">
                      <w:rPr>
                        <w:rFonts w:cs="B Mehr" w:hint="cs"/>
                        <w:rtl/>
                        <w:lang w:bidi="fa-IR"/>
                      </w:rPr>
                      <w:t>یک</w:t>
                    </w:r>
                    <w:r w:rsidR="001F7B61">
                      <w:rPr>
                        <w:rFonts w:cs="B Mehr" w:hint="cs"/>
                        <w:rtl/>
                        <w:lang w:bidi="fa-IR"/>
                      </w:rPr>
                      <w:t>شنبه</w:t>
                    </w:r>
                    <w:r>
                      <w:rPr>
                        <w:rFonts w:cs="B Mehr" w:hint="cs"/>
                        <w:rtl/>
                        <w:lang w:bidi="fa-IR"/>
                      </w:rPr>
                      <w:t xml:space="preserve"> </w:t>
                    </w:r>
                    <w:r>
                      <w:rPr>
                        <w:rFonts w:cs="B Mehr" w:hint="cs"/>
                        <w:rtl/>
                      </w:rPr>
                      <w:t xml:space="preserve">،   </w:t>
                    </w:r>
                    <w:r w:rsidR="003A098C">
                      <w:rPr>
                        <w:rFonts w:cs="B Mehr" w:hint="cs"/>
                        <w:rtl/>
                        <w:lang w:bidi="fa-IR"/>
                      </w:rPr>
                      <w:t>28</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66EE" w14:textId="77777777" w:rsidR="003A098C" w:rsidRDefault="003A09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21720</TotalTime>
  <Pages>1</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579</cp:revision>
  <cp:lastPrinted>2025-04-14T09:12:00Z</cp:lastPrinted>
  <dcterms:created xsi:type="dcterms:W3CDTF">2022-10-16T08:36:00Z</dcterms:created>
  <dcterms:modified xsi:type="dcterms:W3CDTF">2025-05-20T04:26:00Z</dcterms:modified>
</cp:coreProperties>
</file>